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254B96" w:rsidP="002633E6">
      <w:pPr>
        <w:ind w:right="-2"/>
        <w:jc w:val="center"/>
      </w:pPr>
      <w:r w:rsidRPr="00254B96">
        <w:rPr>
          <w:noProof/>
        </w:rPr>
        <w:drawing>
          <wp:inline distT="0" distB="0" distL="0" distR="0">
            <wp:extent cx="419100" cy="723900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2633E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383A39" w:rsidRDefault="00383A39" w:rsidP="002633E6">
      <w:pPr>
        <w:rPr>
          <w:b/>
          <w:sz w:val="28"/>
          <w:szCs w:val="28"/>
        </w:rPr>
      </w:pPr>
    </w:p>
    <w:p w:rsidR="00383A39" w:rsidRDefault="00FD32EB" w:rsidP="002633E6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383A3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83A39">
        <w:rPr>
          <w:sz w:val="28"/>
          <w:szCs w:val="28"/>
        </w:rPr>
        <w:t>.202</w:t>
      </w:r>
      <w:r w:rsidR="00A55AB2">
        <w:rPr>
          <w:sz w:val="28"/>
          <w:szCs w:val="28"/>
        </w:rPr>
        <w:t>3</w:t>
      </w:r>
      <w:r w:rsidR="00383A3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383A39">
        <w:rPr>
          <w:sz w:val="28"/>
          <w:szCs w:val="28"/>
        </w:rPr>
        <w:t>№</w:t>
      </w:r>
      <w:r w:rsidR="002633E6">
        <w:rPr>
          <w:sz w:val="28"/>
          <w:szCs w:val="28"/>
        </w:rPr>
        <w:t xml:space="preserve"> </w:t>
      </w:r>
      <w:r>
        <w:rPr>
          <w:sz w:val="28"/>
          <w:szCs w:val="28"/>
        </w:rPr>
        <w:t>571</w:t>
      </w:r>
    </w:p>
    <w:p w:rsidR="00383A39" w:rsidRDefault="00383A39" w:rsidP="002633E6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Default="00A013B5" w:rsidP="002633E6">
      <w:pPr>
        <w:pStyle w:val="ConsTitle"/>
        <w:widowControl/>
        <w:tabs>
          <w:tab w:val="left" w:pos="4536"/>
        </w:tabs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на  </w:t>
      </w:r>
      <w:r w:rsidR="00BB7CF0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реализацию мероприятия «Умею плавать</w:t>
      </w:r>
      <w:r w:rsidR="00275576">
        <w:rPr>
          <w:rFonts w:ascii="Times New Roman" w:hAnsi="Times New Roman" w:cs="Times New Roman"/>
          <w:b w:val="0"/>
          <w:bCs w:val="0"/>
          <w:sz w:val="28"/>
          <w:szCs w:val="28"/>
        </w:rPr>
        <w:t>!</w:t>
      </w:r>
      <w:r w:rsidR="00BB7CF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76529E" w:rsidRDefault="0076529E" w:rsidP="002633E6">
      <w:pPr>
        <w:pStyle w:val="ConsTitle"/>
        <w:widowControl/>
        <w:ind w:right="3401"/>
        <w:jc w:val="both"/>
        <w:rPr>
          <w:sz w:val="28"/>
          <w:szCs w:val="28"/>
        </w:rPr>
      </w:pPr>
    </w:p>
    <w:p w:rsidR="00383A39" w:rsidRDefault="00916630" w:rsidP="00FD32EB">
      <w:pPr>
        <w:ind w:firstLine="709"/>
        <w:jc w:val="both"/>
        <w:rPr>
          <w:sz w:val="28"/>
          <w:szCs w:val="28"/>
        </w:rPr>
      </w:pPr>
      <w:proofErr w:type="gramStart"/>
      <w:r w:rsidRPr="003E2801">
        <w:rPr>
          <w:sz w:val="28"/>
          <w:szCs w:val="28"/>
        </w:rPr>
        <w:t xml:space="preserve">В соответствии с </w:t>
      </w:r>
      <w:hyperlink r:id="rId8" w:history="1">
        <w:r w:rsidRPr="00821FE8">
          <w:rPr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r w:rsidR="0076529E" w:rsidRPr="0076529E">
        <w:rPr>
          <w:sz w:val="28"/>
          <w:szCs w:val="28"/>
        </w:rPr>
        <w:t xml:space="preserve">частью 5 статьи 42 </w:t>
      </w:r>
      <w:r w:rsidR="0076529E" w:rsidRPr="00821FE8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hyperlink r:id="rId9" w:history="1">
        <w:r w:rsidRPr="00821FE8">
          <w:rPr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Pr="003E2801">
        <w:rPr>
          <w:sz w:val="28"/>
          <w:szCs w:val="28"/>
        </w:rPr>
        <w:t xml:space="preserve">2020 г.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</w:t>
      </w:r>
      <w:proofErr w:type="gramEnd"/>
      <w:r w:rsidRPr="003E2801">
        <w:rPr>
          <w:sz w:val="28"/>
          <w:szCs w:val="28"/>
        </w:rPr>
        <w:t xml:space="preserve"> цели</w:t>
      </w:r>
      <w:r w:rsidRPr="00151CD8">
        <w:rPr>
          <w:sz w:val="28"/>
          <w:szCs w:val="28"/>
        </w:rPr>
        <w:t>»</w:t>
      </w:r>
      <w:r w:rsidR="00383A39" w:rsidRPr="00151CD8">
        <w:rPr>
          <w:sz w:val="28"/>
          <w:szCs w:val="28"/>
        </w:rPr>
        <w:t xml:space="preserve">, </w:t>
      </w:r>
      <w:hyperlink r:id="rId10">
        <w:r w:rsidR="00BB7CF0" w:rsidRPr="00BB7CF0">
          <w:rPr>
            <w:color w:val="0000FF"/>
            <w:sz w:val="28"/>
            <w:szCs w:val="28"/>
          </w:rPr>
          <w:t>постановлением</w:t>
        </w:r>
      </w:hyperlink>
      <w:r w:rsidR="00BB7CF0" w:rsidRPr="00BB7CF0">
        <w:rPr>
          <w:sz w:val="28"/>
          <w:szCs w:val="28"/>
        </w:rPr>
        <w:t xml:space="preserve"> Правительства Пермск</w:t>
      </w:r>
      <w:r w:rsidR="00BB7CF0">
        <w:rPr>
          <w:sz w:val="28"/>
          <w:szCs w:val="28"/>
        </w:rPr>
        <w:t>ого края от 29 декабря 2021 г. № 1121-п «</w:t>
      </w:r>
      <w:r w:rsidR="00BB7CF0" w:rsidRPr="00BB7CF0">
        <w:rPr>
          <w:sz w:val="28"/>
          <w:szCs w:val="28"/>
        </w:rPr>
        <w:t xml:space="preserve">Об утверждении Порядка предоставления субсидий из бюджета Пермского края бюджетам муниципальных образований Пермского </w:t>
      </w:r>
      <w:r w:rsidR="00BB7CF0">
        <w:rPr>
          <w:sz w:val="28"/>
          <w:szCs w:val="28"/>
        </w:rPr>
        <w:t>края на реализацию мероприятия «Умею плавать</w:t>
      </w:r>
      <w:r w:rsidR="00275576">
        <w:rPr>
          <w:sz w:val="28"/>
          <w:szCs w:val="28"/>
        </w:rPr>
        <w:t>!</w:t>
      </w:r>
      <w:r w:rsidR="00BB7CF0">
        <w:rPr>
          <w:sz w:val="28"/>
          <w:szCs w:val="28"/>
        </w:rPr>
        <w:t>»</w:t>
      </w:r>
      <w:r w:rsidR="00383A39" w:rsidRPr="00BB7CF0">
        <w:rPr>
          <w:sz w:val="28"/>
          <w:szCs w:val="28"/>
        </w:rPr>
        <w:t xml:space="preserve">, </w:t>
      </w:r>
      <w:r w:rsidR="00383A39" w:rsidRPr="00151CD8">
        <w:rPr>
          <w:sz w:val="28"/>
          <w:szCs w:val="28"/>
        </w:rPr>
        <w:t>р</w:t>
      </w:r>
      <w:r w:rsidR="00383A39" w:rsidRPr="00A013B5">
        <w:rPr>
          <w:sz w:val="28"/>
          <w:szCs w:val="28"/>
        </w:rPr>
        <w:t xml:space="preserve">уководствуясь Уставом </w:t>
      </w:r>
      <w:proofErr w:type="spellStart"/>
      <w:r w:rsidR="00383A39" w:rsidRPr="00A013B5">
        <w:rPr>
          <w:sz w:val="28"/>
          <w:szCs w:val="28"/>
        </w:rPr>
        <w:t>Юсьвинского</w:t>
      </w:r>
      <w:proofErr w:type="spellEnd"/>
      <w:r w:rsidR="00383A39" w:rsidRPr="00A013B5">
        <w:rPr>
          <w:sz w:val="28"/>
          <w:szCs w:val="28"/>
        </w:rPr>
        <w:t xml:space="preserve"> муниципального округа Пермского края, администрация Юсьвинского</w:t>
      </w:r>
      <w:r w:rsidR="00254B96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муниципального округа Пермского края  ПОСТАНОВЛЯЕТ:</w:t>
      </w:r>
    </w:p>
    <w:p w:rsidR="00916630" w:rsidRPr="004E3747" w:rsidRDefault="00916630" w:rsidP="00FD32E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254B96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>предоставления субсидий на иные цели муниципальным бюджетным учреждениям на</w:t>
      </w:r>
      <w:r w:rsidR="00BB7CF0">
        <w:rPr>
          <w:bCs/>
          <w:sz w:val="28"/>
          <w:szCs w:val="28"/>
        </w:rPr>
        <w:t xml:space="preserve"> реализацию мероприятия «Умею плавать</w:t>
      </w:r>
      <w:r w:rsidR="00275576">
        <w:rPr>
          <w:bCs/>
          <w:sz w:val="28"/>
          <w:szCs w:val="28"/>
        </w:rPr>
        <w:t>!</w:t>
      </w:r>
      <w:r w:rsidR="00BB7CF0">
        <w:rPr>
          <w:bCs/>
          <w:sz w:val="28"/>
          <w:szCs w:val="28"/>
        </w:rPr>
        <w:t>»</w:t>
      </w:r>
      <w:r w:rsidRPr="004E3747">
        <w:rPr>
          <w:bCs/>
          <w:sz w:val="28"/>
          <w:szCs w:val="28"/>
        </w:rPr>
        <w:t>.</w:t>
      </w:r>
    </w:p>
    <w:p w:rsidR="0076529E" w:rsidRPr="0076529E" w:rsidRDefault="0076529E" w:rsidP="00FD32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>2.  Настоящее постановление вступает в силу со дня его официального опубликования в газете «</w:t>
      </w:r>
      <w:proofErr w:type="spellStart"/>
      <w:r w:rsidRPr="0076529E">
        <w:rPr>
          <w:sz w:val="28"/>
          <w:szCs w:val="28"/>
        </w:rPr>
        <w:t>Юсьвинские</w:t>
      </w:r>
      <w:proofErr w:type="spellEnd"/>
      <w:r w:rsidRPr="0076529E">
        <w:rPr>
          <w:sz w:val="28"/>
          <w:szCs w:val="28"/>
        </w:rPr>
        <w:t xml:space="preserve"> вести» и размещения на официальном сайте муниципального образования Юсьвинск</w:t>
      </w:r>
      <w:r w:rsidR="00821FE8">
        <w:rPr>
          <w:sz w:val="28"/>
          <w:szCs w:val="28"/>
        </w:rPr>
        <w:t>ий</w:t>
      </w:r>
      <w:r w:rsidRPr="0076529E">
        <w:rPr>
          <w:sz w:val="28"/>
          <w:szCs w:val="28"/>
        </w:rPr>
        <w:t xml:space="preserve"> муниципальн</w:t>
      </w:r>
      <w:r w:rsidR="00821FE8">
        <w:rPr>
          <w:sz w:val="28"/>
          <w:szCs w:val="28"/>
        </w:rPr>
        <w:t>ый</w:t>
      </w:r>
      <w:r w:rsidRPr="0076529E">
        <w:rPr>
          <w:sz w:val="28"/>
          <w:szCs w:val="28"/>
        </w:rPr>
        <w:t xml:space="preserve"> округ Пермского края в информационно-телекоммуникационной сети «Интернет».</w:t>
      </w:r>
    </w:p>
    <w:p w:rsidR="0076529E" w:rsidRPr="0076529E" w:rsidRDefault="0076529E" w:rsidP="00FD32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29E">
        <w:rPr>
          <w:sz w:val="28"/>
          <w:szCs w:val="28"/>
        </w:rPr>
        <w:t xml:space="preserve">3.  </w:t>
      </w:r>
      <w:proofErr w:type="gramStart"/>
      <w:r w:rsidRPr="0076529E">
        <w:rPr>
          <w:sz w:val="28"/>
          <w:szCs w:val="28"/>
        </w:rPr>
        <w:t>Контроль за</w:t>
      </w:r>
      <w:proofErr w:type="gramEnd"/>
      <w:r w:rsidRPr="0076529E">
        <w:rPr>
          <w:sz w:val="28"/>
          <w:szCs w:val="28"/>
        </w:rPr>
        <w:t xml:space="preserve"> исполнением настоящего постановления возложить на </w:t>
      </w:r>
      <w:r w:rsidR="00B84C5D">
        <w:rPr>
          <w:sz w:val="28"/>
          <w:szCs w:val="28"/>
        </w:rPr>
        <w:t>Петухову Н.В.</w:t>
      </w:r>
      <w:r w:rsidRPr="0076529E">
        <w:rPr>
          <w:sz w:val="28"/>
          <w:szCs w:val="28"/>
        </w:rPr>
        <w:t xml:space="preserve">, заместителя главы администрации округа по социальному развитию.  </w:t>
      </w:r>
    </w:p>
    <w:p w:rsidR="00821FE8" w:rsidRDefault="00821FE8" w:rsidP="002633E6">
      <w:pPr>
        <w:jc w:val="both"/>
        <w:rPr>
          <w:sz w:val="28"/>
          <w:szCs w:val="28"/>
        </w:rPr>
      </w:pPr>
    </w:p>
    <w:p w:rsidR="00383A39" w:rsidRPr="00B71E49" w:rsidRDefault="00B84C5D" w:rsidP="002633E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83A39" w:rsidRPr="00B71E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3A39" w:rsidRPr="00B71E49">
        <w:rPr>
          <w:sz w:val="28"/>
          <w:szCs w:val="28"/>
        </w:rPr>
        <w:t xml:space="preserve"> муниципального </w:t>
      </w:r>
      <w:r w:rsidR="00383A39">
        <w:rPr>
          <w:sz w:val="28"/>
          <w:szCs w:val="28"/>
        </w:rPr>
        <w:t>округа</w:t>
      </w:r>
      <w:r w:rsidR="00383A39" w:rsidRPr="00B71E49">
        <w:rPr>
          <w:sz w:val="28"/>
          <w:szCs w:val="28"/>
        </w:rPr>
        <w:t xml:space="preserve"> –</w:t>
      </w:r>
    </w:p>
    <w:p w:rsidR="00AC5C67" w:rsidRDefault="00383A39" w:rsidP="002633E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глава администрации Юсьвинского</w:t>
      </w:r>
    </w:p>
    <w:p w:rsidR="00383A39" w:rsidRDefault="00383A39" w:rsidP="002633E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муниципального</w:t>
      </w:r>
      <w:r>
        <w:rPr>
          <w:sz w:val="28"/>
          <w:szCs w:val="28"/>
        </w:rPr>
        <w:t>округа</w:t>
      </w:r>
      <w:r w:rsidR="00943EE7">
        <w:rPr>
          <w:sz w:val="28"/>
          <w:szCs w:val="28"/>
        </w:rPr>
        <w:t xml:space="preserve"> Пермского края       </w:t>
      </w:r>
      <w:r w:rsidR="002633E6">
        <w:rPr>
          <w:sz w:val="28"/>
          <w:szCs w:val="28"/>
        </w:rPr>
        <w:t xml:space="preserve">                              </w:t>
      </w:r>
      <w:r w:rsidR="00943EE7">
        <w:rPr>
          <w:sz w:val="28"/>
          <w:szCs w:val="28"/>
        </w:rPr>
        <w:t xml:space="preserve">    </w:t>
      </w:r>
      <w:r w:rsidR="00943EE7" w:rsidRPr="00B71E49">
        <w:rPr>
          <w:sz w:val="28"/>
          <w:szCs w:val="28"/>
        </w:rPr>
        <w:t>Н.</w:t>
      </w:r>
      <w:r w:rsidR="003302CA">
        <w:rPr>
          <w:sz w:val="28"/>
          <w:szCs w:val="28"/>
        </w:rPr>
        <w:t>Г. Никулин</w:t>
      </w:r>
    </w:p>
    <w:p w:rsidR="002633E6" w:rsidRDefault="002633E6" w:rsidP="002633E6">
      <w:pPr>
        <w:ind w:left="360"/>
        <w:jc w:val="right"/>
        <w:rPr>
          <w:sz w:val="28"/>
          <w:szCs w:val="28"/>
        </w:rPr>
      </w:pP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lastRenderedPageBreak/>
        <w:t>УТВЕРЖДЕН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 xml:space="preserve">постановлением администрации 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Юсьвинского муниципального округа</w:t>
      </w:r>
    </w:p>
    <w:p w:rsid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Пермского края</w:t>
      </w:r>
      <w:r w:rsidR="00254B96" w:rsidRPr="002633E6">
        <w:rPr>
          <w:sz w:val="28"/>
          <w:szCs w:val="28"/>
        </w:rPr>
        <w:t xml:space="preserve"> </w:t>
      </w:r>
    </w:p>
    <w:p w:rsidR="00B41B68" w:rsidRPr="002633E6" w:rsidRDefault="00B41B68" w:rsidP="002633E6">
      <w:pPr>
        <w:ind w:left="360"/>
        <w:jc w:val="right"/>
        <w:rPr>
          <w:rFonts w:cs="Calibri"/>
          <w:sz w:val="28"/>
          <w:szCs w:val="28"/>
        </w:rPr>
      </w:pPr>
      <w:r w:rsidRPr="002633E6">
        <w:rPr>
          <w:sz w:val="28"/>
          <w:szCs w:val="28"/>
        </w:rPr>
        <w:t xml:space="preserve">от </w:t>
      </w:r>
      <w:r w:rsidR="00FD32EB">
        <w:rPr>
          <w:sz w:val="28"/>
          <w:szCs w:val="28"/>
        </w:rPr>
        <w:t>07</w:t>
      </w:r>
      <w:r w:rsidRPr="002633E6">
        <w:rPr>
          <w:sz w:val="28"/>
          <w:szCs w:val="28"/>
        </w:rPr>
        <w:t>.</w:t>
      </w:r>
      <w:r w:rsidR="00FD32EB">
        <w:rPr>
          <w:sz w:val="28"/>
          <w:szCs w:val="28"/>
        </w:rPr>
        <w:t>09</w:t>
      </w:r>
      <w:r w:rsidRPr="002633E6">
        <w:rPr>
          <w:sz w:val="28"/>
          <w:szCs w:val="28"/>
        </w:rPr>
        <w:t>.202</w:t>
      </w:r>
      <w:r w:rsidR="00A55AB2">
        <w:rPr>
          <w:sz w:val="28"/>
          <w:szCs w:val="28"/>
        </w:rPr>
        <w:t>3</w:t>
      </w:r>
      <w:r w:rsidRPr="002633E6">
        <w:rPr>
          <w:sz w:val="28"/>
          <w:szCs w:val="28"/>
        </w:rPr>
        <w:t xml:space="preserve">  №</w:t>
      </w:r>
      <w:r w:rsidR="00FD32EB">
        <w:rPr>
          <w:sz w:val="28"/>
          <w:szCs w:val="28"/>
        </w:rPr>
        <w:t xml:space="preserve"> 571</w:t>
      </w:r>
      <w:r w:rsidR="002633E6">
        <w:rPr>
          <w:sz w:val="28"/>
          <w:szCs w:val="28"/>
        </w:rPr>
        <w:t xml:space="preserve"> </w:t>
      </w:r>
    </w:p>
    <w:p w:rsidR="00B41B68" w:rsidRPr="00B96BE9" w:rsidRDefault="00B41B68" w:rsidP="002633E6">
      <w:pPr>
        <w:tabs>
          <w:tab w:val="left" w:pos="8550"/>
        </w:tabs>
        <w:jc w:val="both"/>
        <w:rPr>
          <w:b/>
          <w:sz w:val="28"/>
          <w:szCs w:val="28"/>
        </w:rPr>
      </w:pP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sz w:val="28"/>
          <w:szCs w:val="28"/>
        </w:rPr>
        <w:t>Порядок</w:t>
      </w: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bCs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</w:t>
      </w:r>
      <w:r w:rsidR="0076529E" w:rsidRPr="002633E6">
        <w:rPr>
          <w:b/>
          <w:bCs/>
          <w:sz w:val="28"/>
          <w:szCs w:val="28"/>
        </w:rPr>
        <w:t xml:space="preserve"> на </w:t>
      </w:r>
      <w:r w:rsidR="00BB7CF0">
        <w:rPr>
          <w:b/>
          <w:bCs/>
          <w:sz w:val="28"/>
          <w:szCs w:val="28"/>
        </w:rPr>
        <w:t>реализацию мероприятия «Умею плавать</w:t>
      </w:r>
      <w:r w:rsidR="00275576">
        <w:rPr>
          <w:b/>
          <w:bCs/>
          <w:sz w:val="28"/>
          <w:szCs w:val="28"/>
        </w:rPr>
        <w:t>!</w:t>
      </w:r>
      <w:r w:rsidR="00BB7CF0">
        <w:rPr>
          <w:b/>
          <w:bCs/>
          <w:sz w:val="28"/>
          <w:szCs w:val="28"/>
        </w:rPr>
        <w:t>»</w:t>
      </w:r>
    </w:p>
    <w:p w:rsidR="00AC5C67" w:rsidRPr="002633E6" w:rsidRDefault="00AC5C67" w:rsidP="002633E6">
      <w:pPr>
        <w:jc w:val="center"/>
        <w:rPr>
          <w:b/>
          <w:sz w:val="28"/>
          <w:szCs w:val="28"/>
        </w:rPr>
      </w:pPr>
    </w:p>
    <w:p w:rsidR="005E417E" w:rsidRPr="002633E6" w:rsidRDefault="00646892" w:rsidP="00FD32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2633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2633E6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6F2CC5" w:rsidRPr="002633E6" w:rsidRDefault="00190518" w:rsidP="00FD32E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1.1. </w:t>
      </w:r>
      <w:proofErr w:type="gramStart"/>
      <w:r w:rsidRPr="002633E6">
        <w:rPr>
          <w:rFonts w:eastAsia="Calibri"/>
          <w:sz w:val="28"/>
          <w:szCs w:val="28"/>
        </w:rPr>
        <w:t xml:space="preserve">Настоящий </w:t>
      </w:r>
      <w:r w:rsidR="00681727" w:rsidRPr="002633E6">
        <w:rPr>
          <w:sz w:val="28"/>
          <w:szCs w:val="28"/>
        </w:rPr>
        <w:t xml:space="preserve">Порядок </w:t>
      </w:r>
      <w:r w:rsidR="00681727" w:rsidRPr="002633E6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BB7CF0">
        <w:rPr>
          <w:bCs/>
          <w:sz w:val="28"/>
          <w:szCs w:val="28"/>
        </w:rPr>
        <w:t>реализацию мероприятия «Умею плавать</w:t>
      </w:r>
      <w:r w:rsidR="00275576">
        <w:rPr>
          <w:bCs/>
          <w:sz w:val="28"/>
          <w:szCs w:val="28"/>
        </w:rPr>
        <w:t>!</w:t>
      </w:r>
      <w:r w:rsidR="00BB7CF0">
        <w:rPr>
          <w:bCs/>
          <w:sz w:val="28"/>
          <w:szCs w:val="28"/>
        </w:rPr>
        <w:t xml:space="preserve">» </w:t>
      </w:r>
      <w:r w:rsidR="00646892" w:rsidRPr="002633E6">
        <w:rPr>
          <w:sz w:val="28"/>
          <w:szCs w:val="28"/>
        </w:rPr>
        <w:t xml:space="preserve">(далее – Порядок), </w:t>
      </w:r>
      <w:r w:rsidRPr="002633E6">
        <w:rPr>
          <w:rFonts w:eastAsia="Calibri"/>
          <w:sz w:val="28"/>
          <w:szCs w:val="28"/>
        </w:rPr>
        <w:t xml:space="preserve">разработан в соответствии со </w:t>
      </w:r>
      <w:hyperlink r:id="rId11" w:history="1">
        <w:r w:rsidRPr="002633E6">
          <w:rPr>
            <w:rFonts w:eastAsia="Calibri"/>
            <w:sz w:val="28"/>
            <w:szCs w:val="28"/>
          </w:rPr>
          <w:t>статьей 78.1</w:t>
        </w:r>
      </w:hyperlink>
      <w:r w:rsidRPr="002633E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hyperlink r:id="rId12">
        <w:r w:rsidR="00BB7CF0" w:rsidRPr="00BB7CF0">
          <w:rPr>
            <w:color w:val="0000FF"/>
            <w:sz w:val="28"/>
            <w:szCs w:val="28"/>
          </w:rPr>
          <w:t>постановлением</w:t>
        </w:r>
      </w:hyperlink>
      <w:r w:rsidR="00BB7CF0" w:rsidRPr="00BB7CF0">
        <w:rPr>
          <w:sz w:val="28"/>
          <w:szCs w:val="28"/>
        </w:rPr>
        <w:t xml:space="preserve"> Правительства Пермск</w:t>
      </w:r>
      <w:r w:rsidR="00BB7CF0">
        <w:rPr>
          <w:sz w:val="28"/>
          <w:szCs w:val="28"/>
        </w:rPr>
        <w:t>ого края от 29 декабря 2021 г. № 1121-п «</w:t>
      </w:r>
      <w:r w:rsidR="00BB7CF0" w:rsidRPr="00BB7CF0">
        <w:rPr>
          <w:sz w:val="28"/>
          <w:szCs w:val="28"/>
        </w:rPr>
        <w:t xml:space="preserve">Об утверждении Порядка предоставления субсидий из бюджета Пермского края бюджетам муниципальных образований Пермского </w:t>
      </w:r>
      <w:r w:rsidR="00BB7CF0">
        <w:rPr>
          <w:sz w:val="28"/>
          <w:szCs w:val="28"/>
        </w:rPr>
        <w:t>края на реализацию мероприятия «Умею плавать</w:t>
      </w:r>
      <w:r w:rsidR="00275576">
        <w:rPr>
          <w:sz w:val="28"/>
          <w:szCs w:val="28"/>
        </w:rPr>
        <w:t>!</w:t>
      </w:r>
      <w:r w:rsidR="00BB7CF0">
        <w:rPr>
          <w:sz w:val="28"/>
          <w:szCs w:val="28"/>
        </w:rPr>
        <w:t>»</w:t>
      </w:r>
      <w:r w:rsidR="006F2CC5" w:rsidRPr="00E32E25">
        <w:rPr>
          <w:sz w:val="28"/>
          <w:szCs w:val="28"/>
        </w:rPr>
        <w:t>.</w:t>
      </w:r>
      <w:r w:rsidR="006F2CC5" w:rsidRPr="002633E6">
        <w:rPr>
          <w:sz w:val="28"/>
          <w:szCs w:val="28"/>
        </w:rPr>
        <w:t xml:space="preserve"> </w:t>
      </w:r>
      <w:proofErr w:type="gramEnd"/>
    </w:p>
    <w:p w:rsidR="009D0E38" w:rsidRPr="00187E4A" w:rsidRDefault="006F2CC5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E38">
        <w:rPr>
          <w:rFonts w:ascii="Times New Roman" w:hAnsi="Times New Roman" w:cs="Times New Roman"/>
          <w:sz w:val="28"/>
          <w:szCs w:val="28"/>
        </w:rPr>
        <w:t xml:space="preserve">1.2. </w:t>
      </w:r>
      <w:r w:rsidR="00BB7CF0" w:rsidRPr="00BB7CF0">
        <w:rPr>
          <w:rFonts w:ascii="Times New Roman" w:hAnsi="Times New Roman" w:cs="Times New Roman"/>
          <w:sz w:val="28"/>
          <w:szCs w:val="28"/>
        </w:rPr>
        <w:t>Целью предоставления субсидий на иные цели является обучение детей плаванию как базовому жизненно необходимому навыку, ведущему к здоровому и безопасному образу жизни, через занятия физической культурой и спортом с использованием сре</w:t>
      </w:r>
      <w:proofErr w:type="gramStart"/>
      <w:r w:rsidR="00BB7CF0" w:rsidRPr="00BB7CF0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BB7CF0" w:rsidRPr="00BB7CF0">
        <w:rPr>
          <w:rFonts w:ascii="Times New Roman" w:hAnsi="Times New Roman" w:cs="Times New Roman"/>
          <w:sz w:val="28"/>
          <w:szCs w:val="28"/>
        </w:rPr>
        <w:t>авания, в рамках выполнения мероп</w:t>
      </w:r>
      <w:r w:rsidR="00BB7CF0">
        <w:rPr>
          <w:rFonts w:ascii="Times New Roman" w:hAnsi="Times New Roman" w:cs="Times New Roman"/>
          <w:sz w:val="28"/>
          <w:szCs w:val="28"/>
        </w:rPr>
        <w:t xml:space="preserve">риятий муниципальной программы </w:t>
      </w:r>
      <w:r w:rsidR="00BB7CF0" w:rsidRPr="00187E4A">
        <w:rPr>
          <w:rFonts w:ascii="Times New Roman" w:hAnsi="Times New Roman" w:cs="Times New Roman"/>
          <w:sz w:val="28"/>
          <w:szCs w:val="28"/>
        </w:rPr>
        <w:t>«</w:t>
      </w:r>
      <w:r w:rsidR="00187E4A" w:rsidRPr="00187E4A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</w:t>
      </w:r>
      <w:proofErr w:type="spellStart"/>
      <w:r w:rsidR="00187E4A" w:rsidRPr="00187E4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187E4A" w:rsidRPr="00187E4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BB7CF0" w:rsidRPr="00187E4A">
        <w:rPr>
          <w:rFonts w:ascii="Times New Roman" w:hAnsi="Times New Roman" w:cs="Times New Roman"/>
          <w:sz w:val="28"/>
          <w:szCs w:val="28"/>
        </w:rPr>
        <w:t>».</w:t>
      </w:r>
    </w:p>
    <w:p w:rsidR="00BB7CF0" w:rsidRPr="00BB7CF0" w:rsidRDefault="00190518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eastAsia="Calibri"/>
          <w:sz w:val="28"/>
          <w:szCs w:val="28"/>
        </w:rPr>
        <w:t>1.</w:t>
      </w:r>
      <w:r w:rsidR="007B2014">
        <w:rPr>
          <w:rFonts w:eastAsia="Calibri"/>
          <w:sz w:val="28"/>
          <w:szCs w:val="28"/>
        </w:rPr>
        <w:t>3</w:t>
      </w:r>
      <w:r w:rsidRPr="002633E6">
        <w:rPr>
          <w:rFonts w:eastAsia="Calibri"/>
          <w:sz w:val="28"/>
          <w:szCs w:val="28"/>
        </w:rPr>
        <w:t xml:space="preserve">. </w:t>
      </w:r>
      <w:r w:rsidR="00BB7CF0" w:rsidRPr="00BB7CF0">
        <w:rPr>
          <w:rFonts w:ascii="Times New Roman" w:hAnsi="Times New Roman" w:cs="Times New Roman"/>
          <w:sz w:val="28"/>
          <w:szCs w:val="28"/>
        </w:rPr>
        <w:t xml:space="preserve">Субсидии на иные цели направляются на оплату услуги по организации обучения плаванию учащихся 3-х классов общеобразовательных </w:t>
      </w:r>
      <w:r w:rsidR="007555F5">
        <w:rPr>
          <w:rFonts w:ascii="Times New Roman" w:hAnsi="Times New Roman" w:cs="Times New Roman"/>
          <w:sz w:val="28"/>
          <w:szCs w:val="28"/>
        </w:rPr>
        <w:t>у</w:t>
      </w:r>
      <w:r w:rsidR="00BB7CF0" w:rsidRPr="00BB7CF0">
        <w:rPr>
          <w:rFonts w:ascii="Times New Roman" w:hAnsi="Times New Roman" w:cs="Times New Roman"/>
          <w:sz w:val="28"/>
          <w:szCs w:val="28"/>
        </w:rPr>
        <w:t>чреждений, не являющихся обучающимися по дополнительным общеобразовательным программам (общеразвивающим и предпрофессиональным) в сфере физической культуры и спорта по</w:t>
      </w:r>
      <w:r w:rsidR="001A78B0">
        <w:rPr>
          <w:rFonts w:ascii="Times New Roman" w:hAnsi="Times New Roman" w:cs="Times New Roman"/>
          <w:sz w:val="28"/>
          <w:szCs w:val="28"/>
        </w:rPr>
        <w:t xml:space="preserve"> программе «</w:t>
      </w:r>
      <w:r w:rsidR="00BB7CF0" w:rsidRPr="00BB7CF0">
        <w:rPr>
          <w:rFonts w:ascii="Times New Roman" w:hAnsi="Times New Roman" w:cs="Times New Roman"/>
          <w:sz w:val="28"/>
          <w:szCs w:val="28"/>
        </w:rPr>
        <w:t>плавание</w:t>
      </w:r>
      <w:r w:rsidR="001A78B0">
        <w:rPr>
          <w:rFonts w:ascii="Times New Roman" w:hAnsi="Times New Roman" w:cs="Times New Roman"/>
          <w:sz w:val="28"/>
          <w:szCs w:val="28"/>
        </w:rPr>
        <w:t>»</w:t>
      </w:r>
      <w:r w:rsidR="00BB7CF0" w:rsidRPr="00BB7CF0">
        <w:rPr>
          <w:rFonts w:ascii="Times New Roman" w:hAnsi="Times New Roman" w:cs="Times New Roman"/>
          <w:sz w:val="28"/>
          <w:szCs w:val="28"/>
        </w:rPr>
        <w:t xml:space="preserve"> и (или) не проходящих подготовку в организациях спортивной подготовки по виду спорта </w:t>
      </w:r>
      <w:r w:rsidR="007B2014">
        <w:rPr>
          <w:rFonts w:ascii="Times New Roman" w:hAnsi="Times New Roman" w:cs="Times New Roman"/>
          <w:sz w:val="28"/>
          <w:szCs w:val="28"/>
        </w:rPr>
        <w:t>«плавание»</w:t>
      </w:r>
      <w:r w:rsidR="00BB7CF0" w:rsidRPr="00BB7CF0">
        <w:rPr>
          <w:rFonts w:ascii="Times New Roman" w:hAnsi="Times New Roman" w:cs="Times New Roman"/>
          <w:sz w:val="28"/>
          <w:szCs w:val="28"/>
        </w:rPr>
        <w:t>.</w:t>
      </w:r>
    </w:p>
    <w:p w:rsidR="00FD32EB" w:rsidRDefault="00FD32EB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CF0" w:rsidRPr="00BB7CF0" w:rsidRDefault="00BB7CF0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CF0">
        <w:rPr>
          <w:rFonts w:ascii="Times New Roman" w:hAnsi="Times New Roman" w:cs="Times New Roman"/>
          <w:sz w:val="28"/>
          <w:szCs w:val="28"/>
        </w:rPr>
        <w:t>В услугу по организации обучения плаванию включаются следующие направления расходования:</w:t>
      </w:r>
    </w:p>
    <w:p w:rsidR="00BB7CF0" w:rsidRPr="00BB7CF0" w:rsidRDefault="00BB7CF0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CF0">
        <w:rPr>
          <w:rFonts w:ascii="Times New Roman" w:hAnsi="Times New Roman" w:cs="Times New Roman"/>
          <w:sz w:val="28"/>
          <w:szCs w:val="28"/>
        </w:rPr>
        <w:t>расходы на аренду плавательных дорожек;</w:t>
      </w:r>
    </w:p>
    <w:p w:rsidR="00BB7CF0" w:rsidRPr="00BB7CF0" w:rsidRDefault="00BB7CF0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CF0">
        <w:rPr>
          <w:rFonts w:ascii="Times New Roman" w:hAnsi="Times New Roman" w:cs="Times New Roman"/>
          <w:sz w:val="28"/>
          <w:szCs w:val="28"/>
        </w:rPr>
        <w:t>оплата труда и начисления на оплату труда тренеру-инструктору.</w:t>
      </w:r>
    </w:p>
    <w:p w:rsidR="00190518" w:rsidRPr="002633E6" w:rsidRDefault="00190518" w:rsidP="00FD32EB">
      <w:pPr>
        <w:pStyle w:val="a3"/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</w:rPr>
      </w:pPr>
    </w:p>
    <w:p w:rsidR="0043355D" w:rsidRPr="002633E6" w:rsidRDefault="0043355D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2633E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Юсьвинского муниципального округа Пермского края на предоставление субсидий на иные цели является Управление образования администрации Юсьвинского муниципального округа Пермского края.</w:t>
      </w:r>
    </w:p>
    <w:p w:rsidR="0043355D" w:rsidRDefault="0043355D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>1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eastAsia="Calibri" w:hAnsi="Times New Roman" w:cs="Times New Roman"/>
          <w:sz w:val="28"/>
          <w:szCs w:val="28"/>
        </w:rPr>
        <w:t>4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="001C5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3E6">
        <w:rPr>
          <w:rFonts w:ascii="Times New Roman" w:hAnsi="Times New Roman" w:cs="Times New Roman"/>
          <w:sz w:val="28"/>
          <w:szCs w:val="28"/>
        </w:rPr>
        <w:t xml:space="preserve">Субсидии на иные цели предоставляются в пределах бюджетных ассигнований, предусмотренных решением о бюджете Юсьвинского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 на соответствующий финансовый год и на плановый период, и лимитов бюджетных обязательств, в рамках выполнения мероприятий муниципальной программы «</w:t>
      </w:r>
      <w:r w:rsidR="00187E4A" w:rsidRPr="00187E4A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</w:t>
      </w:r>
      <w:proofErr w:type="spellStart"/>
      <w:r w:rsidR="00187E4A" w:rsidRPr="00187E4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187E4A" w:rsidRPr="00187E4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2633E6">
        <w:rPr>
          <w:rFonts w:ascii="Times New Roman" w:hAnsi="Times New Roman" w:cs="Times New Roman"/>
          <w:sz w:val="28"/>
          <w:szCs w:val="28"/>
        </w:rPr>
        <w:t>».</w:t>
      </w:r>
    </w:p>
    <w:p w:rsidR="002633E6" w:rsidRPr="002633E6" w:rsidRDefault="002633E6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18" w:rsidRPr="002633E6" w:rsidRDefault="00646892" w:rsidP="002633E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633E6">
        <w:rPr>
          <w:rFonts w:eastAsia="Calibri"/>
          <w:b/>
          <w:bCs/>
          <w:sz w:val="28"/>
          <w:szCs w:val="28"/>
          <w:lang w:val="en-US"/>
        </w:rPr>
        <w:t>II</w:t>
      </w:r>
      <w:r w:rsidR="00190518" w:rsidRPr="002633E6">
        <w:rPr>
          <w:rFonts w:eastAsia="Calibri"/>
          <w:b/>
          <w:bCs/>
          <w:sz w:val="28"/>
          <w:szCs w:val="28"/>
        </w:rPr>
        <w:t xml:space="preserve">. </w:t>
      </w:r>
      <w:r w:rsidR="0043355D" w:rsidRPr="002633E6">
        <w:rPr>
          <w:rFonts w:eastAsia="Calibri"/>
          <w:b/>
          <w:bCs/>
          <w:sz w:val="28"/>
          <w:szCs w:val="28"/>
        </w:rPr>
        <w:t>У</w:t>
      </w:r>
      <w:r w:rsidR="00190518" w:rsidRPr="002633E6">
        <w:rPr>
          <w:rFonts w:eastAsia="Calibri"/>
          <w:b/>
          <w:bCs/>
          <w:sz w:val="28"/>
          <w:szCs w:val="28"/>
        </w:rPr>
        <w:t>словия</w:t>
      </w:r>
      <w:r w:rsidR="0043355D" w:rsidRPr="002633E6">
        <w:rPr>
          <w:rFonts w:eastAsia="Calibri"/>
          <w:b/>
          <w:bCs/>
          <w:sz w:val="28"/>
          <w:szCs w:val="28"/>
        </w:rPr>
        <w:t xml:space="preserve"> и порядок</w:t>
      </w:r>
      <w:r w:rsidR="00190518" w:rsidRPr="002633E6">
        <w:rPr>
          <w:rFonts w:eastAsia="Calibri"/>
          <w:b/>
          <w:bCs/>
          <w:sz w:val="28"/>
          <w:szCs w:val="28"/>
        </w:rPr>
        <w:t xml:space="preserve"> предоставления с</w:t>
      </w:r>
      <w:r w:rsidR="0043355D" w:rsidRPr="002633E6">
        <w:rPr>
          <w:rFonts w:eastAsia="Calibri"/>
          <w:b/>
          <w:bCs/>
          <w:sz w:val="28"/>
          <w:szCs w:val="28"/>
        </w:rPr>
        <w:t>убсидий на иные цели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2.1. Для получения субсидий на иные цели на очередной финансовый год и плановый период Учреждения в срок до 01 июня текущего года направляют учредителю:</w:t>
      </w:r>
    </w:p>
    <w:p w:rsidR="006C1ED0" w:rsidRDefault="007B2014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014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35">
        <w:r w:rsidRPr="007B2014">
          <w:rPr>
            <w:rFonts w:ascii="Times New Roman" w:hAnsi="Times New Roman" w:cs="Times New Roman"/>
            <w:color w:val="0000FF"/>
            <w:sz w:val="28"/>
            <w:szCs w:val="28"/>
          </w:rPr>
          <w:t>расчет-обоснование</w:t>
        </w:r>
      </w:hyperlink>
      <w:r w:rsidRPr="007B2014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согласно приложению 1 к настоящему Порядку</w:t>
      </w:r>
      <w:r w:rsidR="006C1ED0" w:rsidRPr="007B2014">
        <w:rPr>
          <w:rFonts w:ascii="Times New Roman" w:hAnsi="Times New Roman" w:cs="Times New Roman"/>
          <w:sz w:val="28"/>
          <w:szCs w:val="28"/>
        </w:rPr>
        <w:t>;</w:t>
      </w:r>
    </w:p>
    <w:p w:rsidR="001A78B0" w:rsidRDefault="001A78B0" w:rsidP="00FD32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о количестве учащихся 3-х классов общеобразовательных организаций в заявительном порядке;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необходимости изменения (перераспределения) утвержденных объемов субсидий на иные цели в течение текущего года Учреждения  направляют учредителю документы, указанные в абзацах втором, третьем настоящего пункта, в срок до 20 числа текущего месяца.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принимаются меры по уточнению объемов субсидий на иные цели.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2.2. Рассмотрение и проверка документов на полноту их представления в соответствии с </w:t>
      </w:r>
      <w:hyperlink r:id="rId13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2633E6">
        <w:rPr>
          <w:rFonts w:ascii="Times New Roman" w:hAnsi="Times New Roman" w:cs="Times New Roman"/>
          <w:sz w:val="28"/>
          <w:szCs w:val="28"/>
        </w:rPr>
        <w:t xml:space="preserve">2.3. Требования, которым Учреждения должны соответствовать на дату подачи документов, указанных в </w:t>
      </w:r>
      <w:hyperlink r:id="rId14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365FE" w:rsidRPr="002633E6" w:rsidRDefault="006C1ED0" w:rsidP="00FD3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2633E6">
        <w:rPr>
          <w:sz w:val="28"/>
          <w:szCs w:val="28"/>
        </w:rPr>
        <w:t>,п</w:t>
      </w:r>
      <w:proofErr w:type="gramEnd"/>
      <w:r w:rsidRPr="002633E6">
        <w:rPr>
          <w:sz w:val="28"/>
          <w:szCs w:val="28"/>
        </w:rPr>
        <w:t>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 w:rsidR="002365FE" w:rsidRPr="002633E6">
        <w:rPr>
          <w:sz w:val="28"/>
          <w:szCs w:val="28"/>
        </w:rPr>
        <w:t>.</w:t>
      </w:r>
    </w:p>
    <w:p w:rsidR="006C1ED0" w:rsidRPr="002633E6" w:rsidRDefault="006C1ED0" w:rsidP="00FD32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2.4. Основания для отказа Учреждениям в предоставлении субсидии на иные цели:</w:t>
      </w:r>
    </w:p>
    <w:p w:rsidR="006C1ED0" w:rsidRPr="002633E6" w:rsidRDefault="006C1ED0" w:rsidP="00FD3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74"/>
      <w:bookmarkEnd w:id="1"/>
      <w:r w:rsidRPr="002633E6">
        <w:rPr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учреждениями в соответствии с </w:t>
      </w:r>
      <w:hyperlink r:id="rId15" w:anchor="Par0" w:history="1">
        <w:r w:rsidRPr="002633E6">
          <w:rPr>
            <w:sz w:val="28"/>
            <w:szCs w:val="28"/>
          </w:rPr>
          <w:t>пунктом 2.1</w:t>
        </w:r>
      </w:hyperlink>
      <w:r w:rsidRPr="002633E6">
        <w:rPr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6C1ED0" w:rsidRPr="002633E6" w:rsidRDefault="006C1ED0" w:rsidP="00FD3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несоответствие требованиям, определенным в соответствии с </w:t>
      </w:r>
      <w:hyperlink r:id="rId16" w:anchor="Par11" w:history="1">
        <w:r w:rsidRPr="002633E6">
          <w:rPr>
            <w:sz w:val="28"/>
            <w:szCs w:val="28"/>
          </w:rPr>
          <w:t>пунктом 2.</w:t>
        </w:r>
        <w:r w:rsidR="00821FE8" w:rsidRPr="002633E6">
          <w:rPr>
            <w:sz w:val="28"/>
            <w:szCs w:val="28"/>
          </w:rPr>
          <w:t>3</w:t>
        </w:r>
      </w:hyperlink>
      <w:r w:rsidR="00821FE8" w:rsidRPr="002633E6">
        <w:rPr>
          <w:sz w:val="28"/>
          <w:szCs w:val="28"/>
        </w:rPr>
        <w:t xml:space="preserve"> настоящего Порядка.</w:t>
      </w:r>
    </w:p>
    <w:p w:rsidR="00B3543B" w:rsidRPr="00B3543B" w:rsidRDefault="006C1ED0" w:rsidP="00FD3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5F0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B3543B" w:rsidRPr="00B3543B">
        <w:rPr>
          <w:rFonts w:ascii="Times New Roman" w:hAnsi="Times New Roman" w:cs="Times New Roman"/>
          <w:sz w:val="28"/>
          <w:szCs w:val="28"/>
        </w:rPr>
        <w:t xml:space="preserve">Размер субсидий на иные цели определяется исходя из количества учащихся 3-х классов Учреждений, не являющихся обучающимися по дополнительным общеобразовательным программам (общеразвивающим и предпрофессиональным) в сфере физической </w:t>
      </w:r>
      <w:r w:rsidR="00B3543B">
        <w:rPr>
          <w:rFonts w:ascii="Times New Roman" w:hAnsi="Times New Roman" w:cs="Times New Roman"/>
          <w:sz w:val="28"/>
          <w:szCs w:val="28"/>
        </w:rPr>
        <w:t>культуры и спорта по программе «плавание»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 и (или) не проходящих подготовку в организациях спорти</w:t>
      </w:r>
      <w:r w:rsidR="00B3543B">
        <w:rPr>
          <w:rFonts w:ascii="Times New Roman" w:hAnsi="Times New Roman" w:cs="Times New Roman"/>
          <w:sz w:val="28"/>
          <w:szCs w:val="28"/>
        </w:rPr>
        <w:t>вной подготовки по виду спорта «плавание»</w:t>
      </w:r>
      <w:r w:rsidR="00B3543B" w:rsidRPr="00B3543B">
        <w:rPr>
          <w:rFonts w:ascii="Times New Roman" w:hAnsi="Times New Roman" w:cs="Times New Roman"/>
          <w:sz w:val="28"/>
          <w:szCs w:val="28"/>
        </w:rPr>
        <w:t>, плани</w:t>
      </w:r>
      <w:r w:rsidR="00B3543B">
        <w:rPr>
          <w:rFonts w:ascii="Times New Roman" w:hAnsi="Times New Roman" w:cs="Times New Roman"/>
          <w:sz w:val="28"/>
          <w:szCs w:val="28"/>
        </w:rPr>
        <w:t>руемых к участию в мероприятии «Умею плавать!»</w:t>
      </w:r>
      <w:r w:rsidR="00B3543B" w:rsidRPr="00B3543B">
        <w:rPr>
          <w:rFonts w:ascii="Times New Roman" w:hAnsi="Times New Roman" w:cs="Times New Roman"/>
          <w:sz w:val="28"/>
          <w:szCs w:val="28"/>
        </w:rPr>
        <w:t>, стоимости одного часа обучения плаванию согласно прайс-листу, утвержденному</w:t>
      </w:r>
      <w:proofErr w:type="gramEnd"/>
      <w:r w:rsidR="00B3543B" w:rsidRPr="00B3543B">
        <w:rPr>
          <w:rFonts w:ascii="Times New Roman" w:hAnsi="Times New Roman" w:cs="Times New Roman"/>
          <w:sz w:val="28"/>
          <w:szCs w:val="28"/>
        </w:rPr>
        <w:t xml:space="preserve"> руководителем плавательного бассейна или иным уполномоченным лицом, в размере </w:t>
      </w:r>
      <w:r w:rsidR="007555F5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3543B" w:rsidRPr="007555F5">
        <w:rPr>
          <w:rFonts w:ascii="Times New Roman" w:hAnsi="Times New Roman" w:cs="Times New Roman"/>
          <w:sz w:val="28"/>
          <w:szCs w:val="28"/>
        </w:rPr>
        <w:t>200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 рублей, количества часов в соответствии с примерной рабочей программой и рассчитывается по следующей формуле:</w:t>
      </w:r>
    </w:p>
    <w:p w:rsidR="00B3543B" w:rsidRPr="00B3543B" w:rsidRDefault="00B3543B" w:rsidP="00B35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43B" w:rsidRPr="00B3543B" w:rsidRDefault="00B3543B" w:rsidP="00B354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43B">
        <w:rPr>
          <w:rFonts w:ascii="Times New Roman" w:hAnsi="Times New Roman" w:cs="Times New Roman"/>
          <w:sz w:val="28"/>
          <w:szCs w:val="28"/>
        </w:rPr>
        <w:t>С = К x</w:t>
      </w:r>
      <w:proofErr w:type="gramStart"/>
      <w:r w:rsidRPr="00B3543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3543B">
        <w:rPr>
          <w:rFonts w:ascii="Times New Roman" w:hAnsi="Times New Roman" w:cs="Times New Roman"/>
          <w:sz w:val="28"/>
          <w:szCs w:val="28"/>
        </w:rPr>
        <w:t xml:space="preserve"> x 36, где</w:t>
      </w:r>
    </w:p>
    <w:p w:rsidR="00B3543B" w:rsidRPr="00B3543B" w:rsidRDefault="00B3543B" w:rsidP="00B35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43B" w:rsidRPr="00B3543B" w:rsidRDefault="00B3543B" w:rsidP="00B354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43B">
        <w:rPr>
          <w:rFonts w:ascii="Times New Roman" w:hAnsi="Times New Roman" w:cs="Times New Roman"/>
          <w:sz w:val="28"/>
          <w:szCs w:val="28"/>
        </w:rPr>
        <w:t>С - размер субсидий на иные цели;</w:t>
      </w:r>
    </w:p>
    <w:p w:rsidR="00B3543B" w:rsidRPr="00B3543B" w:rsidRDefault="00B3543B" w:rsidP="00B35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4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543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3543B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3543B">
        <w:rPr>
          <w:rFonts w:ascii="Times New Roman" w:hAnsi="Times New Roman" w:cs="Times New Roman"/>
          <w:sz w:val="28"/>
          <w:szCs w:val="28"/>
        </w:rPr>
        <w:t xml:space="preserve"> учащихся 3-х классов Учреждения, не являющихся обучающимися по дополнительным общеобразовательным программам (общеразвивающим и предпрофессиональным) в сфере физической </w:t>
      </w:r>
      <w:r>
        <w:rPr>
          <w:rFonts w:ascii="Times New Roman" w:hAnsi="Times New Roman" w:cs="Times New Roman"/>
          <w:sz w:val="28"/>
          <w:szCs w:val="28"/>
        </w:rPr>
        <w:t>культуры и спорта по программе «плавание»</w:t>
      </w:r>
      <w:r w:rsidRPr="00B3543B">
        <w:rPr>
          <w:rFonts w:ascii="Times New Roman" w:hAnsi="Times New Roman" w:cs="Times New Roman"/>
          <w:sz w:val="28"/>
          <w:szCs w:val="28"/>
        </w:rPr>
        <w:t xml:space="preserve"> и (или) не проходящих подготовку в организациях спорти</w:t>
      </w:r>
      <w:r>
        <w:rPr>
          <w:rFonts w:ascii="Times New Roman" w:hAnsi="Times New Roman" w:cs="Times New Roman"/>
          <w:sz w:val="28"/>
          <w:szCs w:val="28"/>
        </w:rPr>
        <w:t>вной подготовки по виду спорта «плавание»</w:t>
      </w:r>
      <w:r w:rsidRPr="00B3543B">
        <w:rPr>
          <w:rFonts w:ascii="Times New Roman" w:hAnsi="Times New Roman" w:cs="Times New Roman"/>
          <w:sz w:val="28"/>
          <w:szCs w:val="28"/>
        </w:rPr>
        <w:t>, плани</w:t>
      </w:r>
      <w:r>
        <w:rPr>
          <w:rFonts w:ascii="Times New Roman" w:hAnsi="Times New Roman" w:cs="Times New Roman"/>
          <w:sz w:val="28"/>
          <w:szCs w:val="28"/>
        </w:rPr>
        <w:t>руемых к участию в мероприятии «Умею плавать!»</w:t>
      </w:r>
      <w:r w:rsidRPr="00B3543B">
        <w:rPr>
          <w:rFonts w:ascii="Times New Roman" w:hAnsi="Times New Roman" w:cs="Times New Roman"/>
          <w:sz w:val="28"/>
          <w:szCs w:val="28"/>
        </w:rPr>
        <w:t>;</w:t>
      </w:r>
    </w:p>
    <w:p w:rsidR="00B3543B" w:rsidRPr="00B3543B" w:rsidRDefault="00B3543B" w:rsidP="00B35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43B">
        <w:rPr>
          <w:rFonts w:ascii="Times New Roman" w:hAnsi="Times New Roman" w:cs="Times New Roman"/>
          <w:sz w:val="28"/>
          <w:szCs w:val="28"/>
        </w:rPr>
        <w:t xml:space="preserve">Д - стоимость одного часа обучения плаванию согласно прайс-листу, утвержденному руководителем плавательного бассейна или иным уполномоченным лицом, в размере </w:t>
      </w:r>
      <w:r w:rsidR="00187E4A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87E4A">
        <w:rPr>
          <w:rFonts w:ascii="Times New Roman" w:hAnsi="Times New Roman" w:cs="Times New Roman"/>
          <w:sz w:val="28"/>
          <w:szCs w:val="28"/>
        </w:rPr>
        <w:t>200</w:t>
      </w:r>
      <w:r w:rsidRPr="00B3543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B3543B" w:rsidRPr="00B3543B" w:rsidRDefault="00B3543B" w:rsidP="00B35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43B">
        <w:rPr>
          <w:rFonts w:ascii="Times New Roman" w:hAnsi="Times New Roman" w:cs="Times New Roman"/>
          <w:sz w:val="28"/>
          <w:szCs w:val="28"/>
        </w:rPr>
        <w:t>36 - количество часов в соответствии с примерной рабочей программой.</w:t>
      </w:r>
    </w:p>
    <w:p w:rsidR="00B953AF" w:rsidRPr="00B953AF" w:rsidRDefault="00B953AF" w:rsidP="00B35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ED0" w:rsidRPr="002633E6" w:rsidRDefault="006C1ED0" w:rsidP="000549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2.6. Субсидии на иные цели предоставляются в соответствии с соглашением о предоставлении субсидии из бюджета Юсьвинского муниципального округа Пермского края (далее - Соглашение), заключенным между  Учредителем и Учреждением по типовой форме, утвержденной Приказом финансового управления администрации Юсьвинского муниципального округа Пермского края (далее - типовая форма).</w:t>
      </w:r>
    </w:p>
    <w:p w:rsidR="006C1ED0" w:rsidRPr="002633E6" w:rsidRDefault="006C1ED0" w:rsidP="000549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Заключение Соглашения на очередной финансовый год и плановый период осуществляется Учредителем не позднее 10 рабочих дней со дня вступления в силу решения  Думы о бюджете Юсьвинского муниципального округа Пермского края на очередной финансовый год и плановый период.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2.7. Условиями заключения Соглашения являются: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Учреждений требованиям, установленным </w:t>
      </w:r>
      <w:hyperlink r:id="rId17" w:anchor="P68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наличие бюджетных ассигнований для предоставления субсидий на иные цели в решении  Думы о бюджете Юсьвинского муниципального округа Пермского края на очередной финансовый год и плановый период, в муниципальной программе «</w:t>
      </w:r>
      <w:r w:rsidR="00187E4A" w:rsidRPr="00187E4A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</w:t>
      </w:r>
      <w:proofErr w:type="spellStart"/>
      <w:r w:rsidR="00187E4A" w:rsidRPr="00187E4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187E4A" w:rsidRPr="00187E4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2633E6">
        <w:rPr>
          <w:rFonts w:ascii="Times New Roman" w:hAnsi="Times New Roman" w:cs="Times New Roman"/>
          <w:sz w:val="28"/>
          <w:szCs w:val="28"/>
        </w:rPr>
        <w:t>».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2.8.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внесении изменений в настоящий Порядок, муниципальную программу «</w:t>
      </w:r>
      <w:r w:rsidR="00187E4A" w:rsidRPr="00187E4A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</w:t>
      </w:r>
      <w:proofErr w:type="spellStart"/>
      <w:r w:rsidR="00187E4A" w:rsidRPr="00187E4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187E4A" w:rsidRPr="00187E4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2633E6">
        <w:rPr>
          <w:rFonts w:ascii="Times New Roman" w:hAnsi="Times New Roman" w:cs="Times New Roman"/>
          <w:sz w:val="28"/>
          <w:szCs w:val="28"/>
        </w:rPr>
        <w:t>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2.9.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2.10. Субсидии на иные цели Учреждениям предоставляются путем перечисления  денежных средств на отдельные лицевые счета Учреждений, открытые в  УФК по Пермскому краю в установленном порядке.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6C1ED0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2633E6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="00B3543B" w:rsidRPr="00B3543B">
        <w:rPr>
          <w:rFonts w:ascii="Times New Roman" w:hAnsi="Times New Roman" w:cs="Times New Roman"/>
          <w:sz w:val="28"/>
          <w:szCs w:val="28"/>
        </w:rPr>
        <w:t>Результатом предоставления субсидий на иные цели в соответст</w:t>
      </w:r>
      <w:r w:rsidR="00187E4A">
        <w:rPr>
          <w:rFonts w:ascii="Times New Roman" w:hAnsi="Times New Roman" w:cs="Times New Roman"/>
          <w:sz w:val="28"/>
          <w:szCs w:val="28"/>
        </w:rPr>
        <w:t>вии с муниципальной программой «</w:t>
      </w:r>
      <w:r w:rsidR="00187E4A" w:rsidRPr="00187E4A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</w:t>
      </w:r>
      <w:proofErr w:type="spellStart"/>
      <w:r w:rsidR="00187E4A" w:rsidRPr="00187E4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187E4A" w:rsidRPr="00187E4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187E4A">
        <w:rPr>
          <w:rFonts w:ascii="Times New Roman" w:hAnsi="Times New Roman" w:cs="Times New Roman"/>
          <w:sz w:val="28"/>
          <w:szCs w:val="28"/>
        </w:rPr>
        <w:t>»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 является количество учащихся 3-х классов Учреждения, не являющихся обучающимися по дополнительным общеобразовательным программам (общеразвивающим и предпрофессиональным) в сфере физической </w:t>
      </w:r>
      <w:r w:rsidR="00B3543B">
        <w:rPr>
          <w:rFonts w:ascii="Times New Roman" w:hAnsi="Times New Roman" w:cs="Times New Roman"/>
          <w:sz w:val="28"/>
          <w:szCs w:val="28"/>
        </w:rPr>
        <w:t>культуры и спорта по программе «плавание»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 и (или) не проходящих подготовку в организациях спортивной подготовки по виду спорт</w:t>
      </w:r>
      <w:r w:rsidR="00B3543B">
        <w:rPr>
          <w:rFonts w:ascii="Times New Roman" w:hAnsi="Times New Roman" w:cs="Times New Roman"/>
          <w:sz w:val="28"/>
          <w:szCs w:val="28"/>
        </w:rPr>
        <w:t>а «плавание</w:t>
      </w:r>
      <w:proofErr w:type="gramEnd"/>
      <w:r w:rsidR="00B3543B">
        <w:rPr>
          <w:rFonts w:ascii="Times New Roman" w:hAnsi="Times New Roman" w:cs="Times New Roman"/>
          <w:sz w:val="28"/>
          <w:szCs w:val="28"/>
        </w:rPr>
        <w:t>»</w:t>
      </w:r>
      <w:r w:rsidR="00B3543B" w:rsidRPr="00B3543B">
        <w:rPr>
          <w:rFonts w:ascii="Times New Roman" w:hAnsi="Times New Roman" w:cs="Times New Roman"/>
          <w:sz w:val="28"/>
          <w:szCs w:val="28"/>
        </w:rPr>
        <w:t>, прошедших</w:t>
      </w:r>
      <w:r w:rsidR="00B3543B">
        <w:rPr>
          <w:rFonts w:ascii="Times New Roman" w:hAnsi="Times New Roman" w:cs="Times New Roman"/>
          <w:sz w:val="28"/>
          <w:szCs w:val="28"/>
        </w:rPr>
        <w:t xml:space="preserve"> обучение в рамках мероприятия «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Умею </w:t>
      </w:r>
      <w:r w:rsidR="00B3543B">
        <w:rPr>
          <w:rFonts w:ascii="Times New Roman" w:hAnsi="Times New Roman" w:cs="Times New Roman"/>
          <w:sz w:val="28"/>
          <w:szCs w:val="28"/>
        </w:rPr>
        <w:t>плавать!»</w:t>
      </w:r>
      <w:r w:rsidR="00B3543B" w:rsidRPr="00B3543B">
        <w:rPr>
          <w:rFonts w:ascii="Times New Roman" w:hAnsi="Times New Roman" w:cs="Times New Roman"/>
          <w:sz w:val="28"/>
          <w:szCs w:val="28"/>
        </w:rPr>
        <w:t xml:space="preserve"> в соответствии с примерной рабочей программой</w:t>
      </w:r>
      <w:proofErr w:type="gramStart"/>
      <w:r w:rsidR="000549F3" w:rsidRPr="00B354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7E4A" w:rsidRDefault="00187E4A" w:rsidP="00187E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Количество учащихся 3-х классов</w:t>
      </w:r>
      <w:r w:rsidR="00C20328">
        <w:rPr>
          <w:rFonts w:eastAsia="Calibri"/>
          <w:sz w:val="28"/>
          <w:szCs w:val="28"/>
        </w:rPr>
        <w:t xml:space="preserve"> Учреждения</w:t>
      </w:r>
      <w:r>
        <w:rPr>
          <w:rFonts w:eastAsia="Calibri"/>
          <w:sz w:val="28"/>
          <w:szCs w:val="28"/>
        </w:rPr>
        <w:t xml:space="preserve">, участвующих в мероприятии </w:t>
      </w:r>
      <w:r w:rsidR="001A78B0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Умею плавать!</w:t>
      </w:r>
      <w:r w:rsidR="001A78B0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, зарегистрированных в электронной базе данных и на </w:t>
      </w:r>
      <w:proofErr w:type="gramStart"/>
      <w:r>
        <w:rPr>
          <w:rFonts w:eastAsia="Calibri"/>
          <w:sz w:val="28"/>
          <w:szCs w:val="28"/>
        </w:rPr>
        <w:t>интернет-портале</w:t>
      </w:r>
      <w:proofErr w:type="gramEnd"/>
      <w:r>
        <w:rPr>
          <w:rFonts w:eastAsia="Calibri"/>
          <w:sz w:val="28"/>
          <w:szCs w:val="28"/>
        </w:rPr>
        <w:t xml:space="preserve"> ВФСК ГТО (https://user.gto.ru/user/register) и приступивших к сдаче испытания (теста) ВФСК ГТО по плаванию.</w:t>
      </w:r>
    </w:p>
    <w:p w:rsidR="006C1ED0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3.1. Учреждения представляют учредителю в установленные настоящим Порядком сроки следующую отчетность (далее - Отчеты):</w:t>
      </w:r>
    </w:p>
    <w:p w:rsidR="001B4664" w:rsidRPr="002633E6" w:rsidRDefault="000411B3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P263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2 к настоящему Порядку ежеквартально нарастающим итогом в следующие сроки: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за 4 квартал (годовой отчет) - не позднее 25 января года, следующего за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0411B3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P351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3 к настоящему Порядку ежегодно не позднее 25 января года, следующего за </w:t>
      </w:r>
      <w:proofErr w:type="gramStart"/>
      <w:r w:rsidR="001B4664"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4664"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руководителей Учреждений.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3.3.  Учредитель имеет право устанавливать в Соглашении формы дополнительной отчетности и сроки ее представления Учреждениями.</w:t>
      </w:r>
    </w:p>
    <w:p w:rsidR="00F61BDD" w:rsidRPr="002633E6" w:rsidRDefault="00F61BDD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IV. Порядок осуществления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B4664" w:rsidRPr="002633E6" w:rsidRDefault="001B4664" w:rsidP="002633E6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33E6">
        <w:rPr>
          <w:sz w:val="28"/>
          <w:szCs w:val="28"/>
        </w:rPr>
        <w:t>Контроль за</w:t>
      </w:r>
      <w:proofErr w:type="gramEnd"/>
      <w:r w:rsidRPr="002633E6">
        <w:rPr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3</w:t>
      </w:r>
      <w:r w:rsidRPr="002633E6">
        <w:rPr>
          <w:sz w:val="28"/>
          <w:szCs w:val="28"/>
        </w:rPr>
        <w:t xml:space="preserve">. В </w:t>
      </w:r>
      <w:r w:rsidRPr="002633E6">
        <w:rPr>
          <w:b/>
          <w:sz w:val="28"/>
          <w:szCs w:val="28"/>
        </w:rPr>
        <w:t xml:space="preserve">случае </w:t>
      </w:r>
      <w:proofErr w:type="spellStart"/>
      <w:r w:rsidRPr="002633E6">
        <w:rPr>
          <w:b/>
          <w:sz w:val="28"/>
          <w:szCs w:val="28"/>
        </w:rPr>
        <w:t>недостижения</w:t>
      </w:r>
      <w:proofErr w:type="spellEnd"/>
      <w:r w:rsidRPr="002633E6">
        <w:rPr>
          <w:b/>
          <w:sz w:val="28"/>
          <w:szCs w:val="28"/>
        </w:rPr>
        <w:t xml:space="preserve"> результата</w:t>
      </w:r>
      <w:r w:rsidRPr="002633E6">
        <w:rPr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Пермского края в течение 25 рабочих дней со дня выявления указанного </w:t>
      </w:r>
      <w:proofErr w:type="spellStart"/>
      <w:r w:rsidRPr="002633E6">
        <w:rPr>
          <w:sz w:val="28"/>
          <w:szCs w:val="28"/>
        </w:rPr>
        <w:t>недостижения</w:t>
      </w:r>
      <w:proofErr w:type="spellEnd"/>
      <w:r w:rsidR="00E13B1F">
        <w:rPr>
          <w:sz w:val="28"/>
          <w:szCs w:val="28"/>
        </w:rPr>
        <w:t xml:space="preserve"> в объеме, пропорциональном недостигнутому результату на основании требования направленного Управлением образования</w:t>
      </w:r>
      <w:r w:rsidRPr="002633E6">
        <w:rPr>
          <w:sz w:val="28"/>
          <w:szCs w:val="28"/>
        </w:rPr>
        <w:t>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4</w:t>
      </w:r>
      <w:r w:rsidRPr="002633E6">
        <w:rPr>
          <w:sz w:val="28"/>
          <w:szCs w:val="28"/>
        </w:rPr>
        <w:t xml:space="preserve">. Остатки субсидий на иные цели, не использованные в текущем финансовом году, подлежат перечислению учреждениями в доход бюджета Юсьвинского муниципального округа Пермского края не позднее, чем за 3 рабочих дня до завершения текущего финансового года. 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5</w:t>
      </w:r>
      <w:r w:rsidRPr="002633E6">
        <w:rPr>
          <w:sz w:val="28"/>
          <w:szCs w:val="28"/>
        </w:rPr>
        <w:t xml:space="preserve">. </w:t>
      </w:r>
      <w:proofErr w:type="gramStart"/>
      <w:r w:rsidRPr="002633E6">
        <w:rPr>
          <w:sz w:val="28"/>
          <w:szCs w:val="28"/>
        </w:rPr>
        <w:t xml:space="preserve">Если </w:t>
      </w:r>
      <w:r w:rsidRPr="002633E6">
        <w:rPr>
          <w:b/>
          <w:sz w:val="28"/>
          <w:szCs w:val="28"/>
        </w:rPr>
        <w:t>учреждение не обеспечило (не обеспечивает)</w:t>
      </w:r>
      <w:r w:rsidRPr="002633E6">
        <w:rPr>
          <w:sz w:val="28"/>
          <w:szCs w:val="28"/>
        </w:rPr>
        <w:t xml:space="preserve"> выполнение условий Соглашения либо использует субсидию на цели, не </w:t>
      </w:r>
      <w:r w:rsidRPr="002633E6">
        <w:rPr>
          <w:sz w:val="28"/>
          <w:szCs w:val="28"/>
        </w:rPr>
        <w:lastRenderedPageBreak/>
        <w:t>предусмотренные Соглашением, учредитель 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</w:t>
      </w:r>
      <w:r w:rsidR="00821FE8" w:rsidRPr="002633E6">
        <w:rPr>
          <w:sz w:val="28"/>
          <w:szCs w:val="28"/>
        </w:rPr>
        <w:t>, а также в</w:t>
      </w:r>
      <w:r w:rsidR="00821FE8" w:rsidRPr="002633E6">
        <w:rPr>
          <w:b/>
          <w:sz w:val="28"/>
          <w:szCs w:val="28"/>
        </w:rPr>
        <w:t xml:space="preserve"> случае несоблюдения</w:t>
      </w:r>
      <w:r w:rsidR="00821FE8" w:rsidRPr="002633E6">
        <w:rPr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="00821FE8" w:rsidRPr="002633E6">
        <w:rPr>
          <w:b/>
          <w:sz w:val="28"/>
          <w:szCs w:val="28"/>
        </w:rPr>
        <w:t>по результатам проверок</w:t>
      </w:r>
      <w:r w:rsidR="00821FE8" w:rsidRPr="002633E6">
        <w:rPr>
          <w:sz w:val="28"/>
          <w:szCs w:val="28"/>
        </w:rPr>
        <w:t>, проведенных</w:t>
      </w:r>
      <w:proofErr w:type="gramEnd"/>
      <w:r w:rsidR="00821FE8" w:rsidRPr="002633E6">
        <w:rPr>
          <w:sz w:val="28"/>
          <w:szCs w:val="28"/>
        </w:rPr>
        <w:t xml:space="preserve"> учредителем и (или) уполномоченным органом муниципального финансового контроля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821FE8" w:rsidRPr="002633E6" w:rsidRDefault="00821FE8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учреждениями требований о возврате субсидий на иные цели учредитель 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6</w:t>
      </w:r>
      <w:r w:rsidRPr="002633E6">
        <w:rPr>
          <w:sz w:val="28"/>
          <w:szCs w:val="28"/>
        </w:rPr>
        <w:t xml:space="preserve">. При наличии потребности в направлении остатков субсидий по состоянию на 1 января очередного финансового года, не использованных в текущем финансовом году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цели, учреждение представляет учредителю одновременно с отчетом об использовании субсидий расчеты и документы в обоснование необходимости направления остатков на те же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Учредитель проверяет полноту и достоверность отчета об использовании субсидий и принимает решение о наличии потребности в направлении остатков субсидий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в форме постановления администрации Юсьвинского муниципального округа Пермского края.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Вышеуказанное решение о наличии потребности в направлении остатков субсидий прошлых лет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учредитель принимает в срок до 1 февраля очередного финансового года.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</w:p>
    <w:p w:rsidR="00254B96" w:rsidRPr="002633E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254B96" w:rsidRDefault="00254B96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D32EB" w:rsidRDefault="00FD32EB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D32EB" w:rsidRDefault="00FD32EB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D32EB" w:rsidRDefault="00FD32EB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FD32EB" w:rsidRPr="002633E6" w:rsidRDefault="00FD32EB" w:rsidP="002633E6">
      <w:pPr>
        <w:pStyle w:val="ConsPlusNormal"/>
        <w:jc w:val="right"/>
        <w:outlineLvl w:val="1"/>
        <w:rPr>
          <w:sz w:val="28"/>
          <w:szCs w:val="28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1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DB317B" w:rsidRDefault="001B4664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 w:rsidR="001D0117">
        <w:rPr>
          <w:rFonts w:ascii="Times New Roman" w:hAnsi="Times New Roman" w:cs="Times New Roman"/>
          <w:sz w:val="20"/>
        </w:rPr>
        <w:t>реализацию проекта</w:t>
      </w:r>
    </w:p>
    <w:p w:rsidR="001D0117" w:rsidRPr="00821FE8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«Умею плавать</w:t>
      </w:r>
      <w:r w:rsidR="00275576">
        <w:rPr>
          <w:rFonts w:ascii="Times New Roman" w:hAnsi="Times New Roman" w:cs="Times New Roman"/>
          <w:sz w:val="20"/>
        </w:rPr>
        <w:t>!</w:t>
      </w:r>
      <w:r>
        <w:rPr>
          <w:rFonts w:ascii="Times New Roman" w:hAnsi="Times New Roman" w:cs="Times New Roman"/>
          <w:sz w:val="20"/>
        </w:rPr>
        <w:t>»</w:t>
      </w:r>
    </w:p>
    <w:p w:rsidR="001B4664" w:rsidRPr="00254B96" w:rsidRDefault="001B4664" w:rsidP="002633E6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3" w:name="P153"/>
      <w:bookmarkEnd w:id="3"/>
      <w:r w:rsidRPr="00254B96">
        <w:rPr>
          <w:rFonts w:ascii="Times New Roman" w:hAnsi="Times New Roman" w:cs="Times New Roman"/>
          <w:sz w:val="24"/>
        </w:rPr>
        <w:t>РАСЧЕТ-ОБОСНОВАНИЕ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суммы субсидии на 20___ г.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B4664" w:rsidRPr="00821FE8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821FE8">
        <w:rPr>
          <w:rFonts w:ascii="Times New Roman" w:hAnsi="Times New Roman" w:cs="Times New Roman"/>
          <w:sz w:val="24"/>
          <w:vertAlign w:val="superscript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066"/>
        <w:gridCol w:w="2665"/>
      </w:tblGrid>
      <w:tr w:rsidR="001D0117" w:rsidRPr="001D0117" w:rsidTr="007B5F94">
        <w:tc>
          <w:tcPr>
            <w:tcW w:w="340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66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2665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Показатель для расчета суммы субсидий на иные цели</w:t>
            </w:r>
          </w:p>
        </w:tc>
      </w:tr>
      <w:tr w:rsidR="001D0117" w:rsidRPr="001D0117" w:rsidTr="007B5F94">
        <w:tc>
          <w:tcPr>
            <w:tcW w:w="340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46"/>
            <w:bookmarkEnd w:id="4"/>
            <w:r w:rsidRPr="001D0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6" w:type="dxa"/>
          </w:tcPr>
          <w:p w:rsidR="001D0117" w:rsidRPr="001D0117" w:rsidRDefault="001D0117" w:rsidP="00214B2D">
            <w:pPr>
              <w:pStyle w:val="ConsPlusNormal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 xml:space="preserve">Количество учащихся 3-х классов Учреждения,  не являющихся обучающимися по дополнительным общеобразовательным программам (общеразвивающим и предпрофессиональным) в сфере физической культуры и спорта </w:t>
            </w:r>
            <w:r>
              <w:rPr>
                <w:rFonts w:ascii="Times New Roman" w:hAnsi="Times New Roman" w:cs="Times New Roman"/>
              </w:rPr>
              <w:t xml:space="preserve">по программе «плавание» </w:t>
            </w:r>
            <w:r w:rsidRPr="001D0117">
              <w:rPr>
                <w:rFonts w:ascii="Times New Roman" w:hAnsi="Times New Roman" w:cs="Times New Roman"/>
              </w:rPr>
              <w:t>и (или) не проходящих подготовку в организациях спорти</w:t>
            </w:r>
            <w:r>
              <w:rPr>
                <w:rFonts w:ascii="Times New Roman" w:hAnsi="Times New Roman" w:cs="Times New Roman"/>
              </w:rPr>
              <w:t>вной подготовки по виду спорта «плавание»</w:t>
            </w:r>
            <w:r w:rsidRPr="001D0117">
              <w:rPr>
                <w:rFonts w:ascii="Times New Roman" w:hAnsi="Times New Roman" w:cs="Times New Roman"/>
              </w:rPr>
              <w:t>, плани</w:t>
            </w:r>
            <w:r>
              <w:rPr>
                <w:rFonts w:ascii="Times New Roman" w:hAnsi="Times New Roman" w:cs="Times New Roman"/>
              </w:rPr>
              <w:t>руемых к участию в мероприятии «Умею плавать!»</w:t>
            </w:r>
            <w:r w:rsidRPr="001D0117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665" w:type="dxa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117" w:rsidRPr="001D0117" w:rsidTr="007B5F94">
        <w:tc>
          <w:tcPr>
            <w:tcW w:w="340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49"/>
            <w:bookmarkEnd w:id="5"/>
            <w:r w:rsidRPr="001D0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 xml:space="preserve">Стоимость одного часа обучения плаванию согласно прайс-листу, утвержденному руководителем плавательного бассейна или иным уполномоченным лицом, в размере </w:t>
            </w:r>
            <w:r w:rsidR="00214B2D">
              <w:rPr>
                <w:rFonts w:ascii="Times New Roman" w:hAnsi="Times New Roman" w:cs="Times New Roman"/>
              </w:rPr>
              <w:t xml:space="preserve">не более </w:t>
            </w:r>
            <w:r w:rsidRPr="00214B2D">
              <w:rPr>
                <w:rFonts w:ascii="Times New Roman" w:hAnsi="Times New Roman" w:cs="Times New Roman"/>
              </w:rPr>
              <w:t>200</w:t>
            </w:r>
            <w:r w:rsidRPr="001D0117">
              <w:rPr>
                <w:rFonts w:ascii="Times New Roman" w:hAnsi="Times New Roman" w:cs="Times New Roman"/>
              </w:rPr>
              <w:t xml:space="preserve"> рублей, руб.</w:t>
            </w:r>
          </w:p>
        </w:tc>
        <w:tc>
          <w:tcPr>
            <w:tcW w:w="2665" w:type="dxa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117" w:rsidRPr="001D0117" w:rsidTr="007B5F94">
        <w:tc>
          <w:tcPr>
            <w:tcW w:w="340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6" w:type="dxa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Количество часов в соответствии с примерной рабочей программой, час.</w:t>
            </w:r>
          </w:p>
        </w:tc>
        <w:tc>
          <w:tcPr>
            <w:tcW w:w="2665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36</w:t>
            </w:r>
          </w:p>
        </w:tc>
      </w:tr>
      <w:tr w:rsidR="001D0117" w:rsidRPr="001D0117" w:rsidTr="007B5F94">
        <w:tc>
          <w:tcPr>
            <w:tcW w:w="340" w:type="dxa"/>
          </w:tcPr>
          <w:p w:rsidR="001D0117" w:rsidRPr="001D0117" w:rsidRDefault="001D0117" w:rsidP="007B5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6" w:type="dxa"/>
            <w:vAlign w:val="center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  <w:r w:rsidRPr="001D0117">
              <w:rPr>
                <w:rFonts w:ascii="Times New Roman" w:hAnsi="Times New Roman" w:cs="Times New Roman"/>
              </w:rPr>
              <w:t>Сумма субсидий на иные цели, руб. (</w:t>
            </w:r>
            <w:hyperlink w:anchor="P146">
              <w:r w:rsidRPr="001D0117">
                <w:rPr>
                  <w:rFonts w:ascii="Times New Roman" w:hAnsi="Times New Roman" w:cs="Times New Roman"/>
                  <w:color w:val="0000FF"/>
                </w:rPr>
                <w:t>строка 1</w:t>
              </w:r>
            </w:hyperlink>
            <w:r w:rsidRPr="001D0117">
              <w:rPr>
                <w:rFonts w:ascii="Times New Roman" w:hAnsi="Times New Roman" w:cs="Times New Roman"/>
              </w:rPr>
              <w:t xml:space="preserve"> x </w:t>
            </w:r>
            <w:hyperlink w:anchor="P149">
              <w:r w:rsidRPr="001D0117">
                <w:rPr>
                  <w:rFonts w:ascii="Times New Roman" w:hAnsi="Times New Roman" w:cs="Times New Roman"/>
                  <w:color w:val="0000FF"/>
                </w:rPr>
                <w:t>строка 2</w:t>
              </w:r>
            </w:hyperlink>
            <w:r w:rsidRPr="001D0117">
              <w:rPr>
                <w:rFonts w:ascii="Times New Roman" w:hAnsi="Times New Roman" w:cs="Times New Roman"/>
              </w:rPr>
              <w:t xml:space="preserve"> x строка 3)</w:t>
            </w:r>
          </w:p>
        </w:tc>
        <w:tc>
          <w:tcPr>
            <w:tcW w:w="2665" w:type="dxa"/>
          </w:tcPr>
          <w:p w:rsidR="001D0117" w:rsidRPr="001D0117" w:rsidRDefault="001D0117" w:rsidP="007B5F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 xml:space="preserve">Учреждение не имеет задолженности по возврату в бюджет Юсьвинского муниципального округа Пермского края субсидий, бюджетных инвестиций, </w:t>
      </w:r>
      <w:proofErr w:type="gramStart"/>
      <w:r w:rsidRPr="0025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5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подписи)</w:t>
            </w:r>
          </w:p>
        </w:tc>
      </w:tr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"___" __________ _____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1B4664" w:rsidRDefault="001B4664" w:rsidP="002633E6">
      <w:pPr>
        <w:pStyle w:val="ConsPlusNormal"/>
        <w:ind w:firstLine="540"/>
        <w:jc w:val="both"/>
      </w:pPr>
      <w:r>
        <w:t>--------------------------------</w:t>
      </w:r>
    </w:p>
    <w:p w:rsidR="001B4664" w:rsidRPr="00821FE8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&lt;*&gt; В соответствии с </w:t>
      </w:r>
      <w:hyperlink r:id="rId20" w:anchor="P65" w:history="1">
        <w:r w:rsidRPr="00821FE8">
          <w:rPr>
            <w:rFonts w:ascii="Times New Roman" w:hAnsi="Times New Roman" w:cs="Times New Roman"/>
            <w:sz w:val="20"/>
          </w:rPr>
          <w:t>пунктом 2.5</w:t>
        </w:r>
      </w:hyperlink>
      <w:r w:rsidRPr="00821FE8">
        <w:rPr>
          <w:rFonts w:ascii="Times New Roman" w:hAnsi="Times New Roman" w:cs="Times New Roman"/>
          <w:sz w:val="20"/>
        </w:rPr>
        <w:t xml:space="preserve"> настоящего Порядка определения объема и условий предоставления субсидий на иные цели бюджетным и автономным учреждениям на </w:t>
      </w:r>
      <w:r w:rsidR="00485C56" w:rsidRPr="00821FE8">
        <w:rPr>
          <w:rFonts w:ascii="Times New Roman" w:hAnsi="Times New Roman" w:cs="Times New Roman"/>
          <w:sz w:val="20"/>
        </w:rPr>
        <w:t>обеспечение деятельности психолого-медико-педагогической комиссии.</w:t>
      </w: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rPr>
          <w:rFonts w:cs="Calibri"/>
        </w:rPr>
        <w:sectPr w:rsidR="001B4664" w:rsidSect="002633E6">
          <w:pgSz w:w="11905" w:h="16838"/>
          <w:pgMar w:top="1134" w:right="850" w:bottom="1134" w:left="1701" w:header="0" w:footer="0" w:gutter="0"/>
          <w:cols w:space="720"/>
          <w:docGrid w:linePitch="272"/>
        </w:sect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1D0117" w:rsidRPr="00821FE8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D0117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>
        <w:rPr>
          <w:rFonts w:ascii="Times New Roman" w:hAnsi="Times New Roman" w:cs="Times New Roman"/>
          <w:sz w:val="20"/>
        </w:rPr>
        <w:t>реализацию проекта</w:t>
      </w:r>
    </w:p>
    <w:p w:rsidR="001D0117" w:rsidRPr="00821FE8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«Умею плавать</w:t>
      </w:r>
      <w:r w:rsidR="00275576">
        <w:rPr>
          <w:rFonts w:ascii="Times New Roman" w:hAnsi="Times New Roman" w:cs="Times New Roman"/>
          <w:sz w:val="20"/>
        </w:rPr>
        <w:t>!</w:t>
      </w:r>
      <w:r>
        <w:rPr>
          <w:rFonts w:ascii="Times New Roman" w:hAnsi="Times New Roman" w:cs="Times New Roman"/>
          <w:sz w:val="20"/>
        </w:rPr>
        <w:t>»</w:t>
      </w:r>
    </w:p>
    <w:p w:rsidR="001B4664" w:rsidRDefault="001B4664" w:rsidP="002633E6">
      <w:pPr>
        <w:pStyle w:val="ConsPlusNormal"/>
        <w:jc w:val="center"/>
      </w:pP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263"/>
      <w:bookmarkEnd w:id="6"/>
      <w:r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источником финансового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является Субсидия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«__» ____________ 20__ г. 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46"/>
        <w:gridCol w:w="567"/>
        <w:gridCol w:w="1559"/>
        <w:gridCol w:w="486"/>
        <w:gridCol w:w="364"/>
        <w:gridCol w:w="1418"/>
        <w:gridCol w:w="567"/>
        <w:gridCol w:w="1700"/>
        <w:gridCol w:w="1277"/>
        <w:gridCol w:w="851"/>
        <w:gridCol w:w="373"/>
        <w:gridCol w:w="1469"/>
        <w:gridCol w:w="992"/>
        <w:gridCol w:w="1324"/>
        <w:gridCol w:w="1134"/>
        <w:gridCol w:w="142"/>
      </w:tblGrid>
      <w:tr w:rsidR="001B4664" w:rsidTr="001B4664">
        <w:trPr>
          <w:gridAfter w:val="1"/>
          <w:wAfter w:w="142" w:type="dxa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Поступления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 использованию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 в том числе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бюджета Юсьвинского муниципального округа Пермского края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1B4664" w:rsidTr="001B4664">
        <w:trPr>
          <w:gridAfter w:val="1"/>
          <w:wAfter w:w="142" w:type="dxa"/>
          <w:trHeight w:val="11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требуется в направлении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те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подлежит возврату 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B4664" w:rsidTr="001B4664">
        <w:trPr>
          <w:gridBefore w:val="1"/>
          <w:wBefore w:w="505" w:type="dxa"/>
        </w:trPr>
        <w:tc>
          <w:tcPr>
            <w:tcW w:w="145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Руководитель </w:t>
            </w:r>
            <w:proofErr w:type="gramStart"/>
            <w:r>
              <w:t>муниципального</w:t>
            </w:r>
            <w:proofErr w:type="gramEnd"/>
            <w:r>
              <w:t xml:space="preserve"> бюджетного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(автономного) учреждения</w:t>
            </w:r>
          </w:p>
        </w:tc>
      </w:tr>
      <w:tr w:rsidR="001B4664" w:rsidTr="007911D2">
        <w:trPr>
          <w:gridBefore w:val="1"/>
          <w:wBefore w:w="505" w:type="dxa"/>
          <w:trHeight w:val="16"/>
        </w:trPr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(подпись)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___________________________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(Ф.И.О.)</w:t>
            </w:r>
          </w:p>
        </w:tc>
        <w:tc>
          <w:tcPr>
            <w:tcW w:w="50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</w:pPr>
            <w:r>
              <w:t>"___" _________ 20__ года</w:t>
            </w:r>
          </w:p>
          <w:p w:rsidR="00DB317B" w:rsidRDefault="00DB317B" w:rsidP="002633E6">
            <w:pPr>
              <w:autoSpaceDE w:val="0"/>
              <w:autoSpaceDN w:val="0"/>
              <w:adjustRightInd w:val="0"/>
            </w:pPr>
          </w:p>
          <w:p w:rsidR="007911D2" w:rsidRDefault="007911D2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D97DEE" w:rsidRDefault="00D97DEE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1D0117" w:rsidRPr="00821FE8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1D0117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>
        <w:rPr>
          <w:rFonts w:ascii="Times New Roman" w:hAnsi="Times New Roman" w:cs="Times New Roman"/>
          <w:sz w:val="20"/>
        </w:rPr>
        <w:t>реализацию проекта</w:t>
      </w:r>
    </w:p>
    <w:p w:rsidR="001D0117" w:rsidRPr="00821FE8" w:rsidRDefault="001D0117" w:rsidP="001D011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«Умею плават</w:t>
      </w:r>
      <w:r w:rsidR="00D97DEE">
        <w:rPr>
          <w:rFonts w:ascii="Times New Roman" w:hAnsi="Times New Roman" w:cs="Times New Roman"/>
          <w:sz w:val="20"/>
        </w:rPr>
        <w:t>ь</w:t>
      </w:r>
      <w:r w:rsidR="00275576">
        <w:rPr>
          <w:rFonts w:ascii="Times New Roman" w:hAnsi="Times New Roman" w:cs="Times New Roman"/>
          <w:sz w:val="20"/>
        </w:rPr>
        <w:t>!</w:t>
      </w:r>
      <w:r>
        <w:rPr>
          <w:rFonts w:ascii="Times New Roman" w:hAnsi="Times New Roman" w:cs="Times New Roman"/>
          <w:sz w:val="20"/>
        </w:rPr>
        <w:t>»</w:t>
      </w:r>
    </w:p>
    <w:p w:rsidR="001B4664" w:rsidRDefault="001B4664" w:rsidP="002633E6">
      <w:pPr>
        <w:pStyle w:val="ConsPlusNormal"/>
        <w:jc w:val="both"/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51"/>
      <w:bookmarkEnd w:id="7"/>
      <w:r w:rsidRPr="00254B96">
        <w:rPr>
          <w:rFonts w:ascii="Times New Roman" w:hAnsi="Times New Roman" w:cs="Times New Roman"/>
          <w:sz w:val="24"/>
          <w:szCs w:val="24"/>
        </w:rPr>
        <w:t>ОТЧЕТ</w:t>
      </w:r>
    </w:p>
    <w:p w:rsidR="001B4664" w:rsidRPr="00254B96" w:rsidRDefault="001B4664" w:rsidP="002633E6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о достижении результата предоставления субсидий на иные цели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по состоянию на 01 _______________ 20____ г.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664" w:rsidRPr="00254B96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Ежегодная форма.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568"/>
        <w:gridCol w:w="2154"/>
        <w:gridCol w:w="326"/>
        <w:gridCol w:w="1126"/>
        <w:gridCol w:w="972"/>
        <w:gridCol w:w="304"/>
        <w:gridCol w:w="1237"/>
        <w:gridCol w:w="464"/>
        <w:gridCol w:w="1262"/>
        <w:gridCol w:w="439"/>
        <w:gridCol w:w="1559"/>
        <w:gridCol w:w="723"/>
        <w:gridCol w:w="3324"/>
      </w:tblGrid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Причина отклонения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7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After w:val="1"/>
          <w:wAfter w:w="3323" w:type="dxa"/>
        </w:trPr>
        <w:tc>
          <w:tcPr>
            <w:tcW w:w="11479" w:type="dxa"/>
            <w:gridSpan w:val="13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254B96">
              <w:rPr>
                <w:sz w:val="24"/>
                <w:szCs w:val="24"/>
              </w:rPr>
              <w:t>муниципального</w:t>
            </w:r>
            <w:proofErr w:type="gramEnd"/>
            <w:r w:rsidRPr="00254B96">
              <w:rPr>
                <w:sz w:val="24"/>
                <w:szCs w:val="24"/>
              </w:rPr>
              <w:t xml:space="preserve"> бюджетного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1B4664" w:rsidRPr="00254B96" w:rsidTr="001B4664">
        <w:tc>
          <w:tcPr>
            <w:tcW w:w="3393" w:type="dxa"/>
            <w:gridSpan w:val="4"/>
            <w:hideMark/>
          </w:tcPr>
          <w:p w:rsidR="001B4664" w:rsidRPr="00254B96" w:rsidRDefault="001B4664" w:rsidP="002633E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9"/>
            <w:hideMark/>
          </w:tcPr>
          <w:p w:rsidR="001B4664" w:rsidRPr="00254B96" w:rsidRDefault="001B4664" w:rsidP="002633E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  <w:hideMark/>
          </w:tcPr>
          <w:p w:rsidR="001B4664" w:rsidRPr="00254B96" w:rsidRDefault="001D0117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</w:t>
            </w:r>
            <w:r w:rsidR="001B4664" w:rsidRPr="00254B96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="001B4664" w:rsidRPr="00254B96">
              <w:rPr>
                <w:sz w:val="24"/>
                <w:szCs w:val="24"/>
              </w:rPr>
              <w:t xml:space="preserve"> __________ 20__ г.</w:t>
            </w:r>
          </w:p>
        </w:tc>
      </w:tr>
      <w:tr w:rsidR="001B4664" w:rsidTr="001B4664">
        <w:trPr>
          <w:gridAfter w:val="1"/>
          <w:wAfter w:w="3323" w:type="dxa"/>
        </w:trPr>
        <w:tc>
          <w:tcPr>
            <w:tcW w:w="5491" w:type="dxa"/>
            <w:gridSpan w:val="6"/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М.П.</w:t>
            </w:r>
          </w:p>
        </w:tc>
        <w:tc>
          <w:tcPr>
            <w:tcW w:w="1541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21" w:type="dxa"/>
            <w:gridSpan w:val="3"/>
            <w:vAlign w:val="bottom"/>
          </w:tcPr>
          <w:p w:rsidR="001B4664" w:rsidRDefault="001B4664" w:rsidP="002633E6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:rsidR="007911D2" w:rsidRDefault="007911D2" w:rsidP="002633E6">
      <w:pPr>
        <w:rPr>
          <w:b/>
          <w:sz w:val="28"/>
          <w:szCs w:val="28"/>
        </w:rPr>
        <w:sectPr w:rsidR="007911D2" w:rsidSect="00254B96">
          <w:pgSz w:w="16838" w:h="11906" w:orient="landscape"/>
          <w:pgMar w:top="624" w:right="1134" w:bottom="426" w:left="1134" w:header="709" w:footer="709" w:gutter="0"/>
          <w:cols w:space="708"/>
          <w:docGrid w:linePitch="360"/>
        </w:sectPr>
      </w:pPr>
    </w:p>
    <w:p w:rsidR="007911D2" w:rsidRDefault="007911D2" w:rsidP="00FD32EB">
      <w:pPr>
        <w:rPr>
          <w:sz w:val="26"/>
          <w:szCs w:val="26"/>
        </w:rPr>
      </w:pPr>
      <w:bookmarkStart w:id="8" w:name="_GoBack"/>
      <w:bookmarkEnd w:id="8"/>
    </w:p>
    <w:sectPr w:rsidR="007911D2" w:rsidSect="00821FE8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0EF0"/>
    <w:rsid w:val="00011482"/>
    <w:rsid w:val="000140C6"/>
    <w:rsid w:val="000141BF"/>
    <w:rsid w:val="00014CBD"/>
    <w:rsid w:val="000167E7"/>
    <w:rsid w:val="00017F10"/>
    <w:rsid w:val="00021204"/>
    <w:rsid w:val="00021DAA"/>
    <w:rsid w:val="000265F5"/>
    <w:rsid w:val="00030C5D"/>
    <w:rsid w:val="00034278"/>
    <w:rsid w:val="00034D15"/>
    <w:rsid w:val="00034E76"/>
    <w:rsid w:val="000350BD"/>
    <w:rsid w:val="000351C2"/>
    <w:rsid w:val="000410A5"/>
    <w:rsid w:val="000411B3"/>
    <w:rsid w:val="00041867"/>
    <w:rsid w:val="00042B42"/>
    <w:rsid w:val="000450F2"/>
    <w:rsid w:val="00046699"/>
    <w:rsid w:val="000535B4"/>
    <w:rsid w:val="00053AA6"/>
    <w:rsid w:val="000549F3"/>
    <w:rsid w:val="00055473"/>
    <w:rsid w:val="0005705B"/>
    <w:rsid w:val="00060400"/>
    <w:rsid w:val="000607CD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3B66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82A"/>
    <w:rsid w:val="0011337C"/>
    <w:rsid w:val="00115F82"/>
    <w:rsid w:val="001163F1"/>
    <w:rsid w:val="0011692A"/>
    <w:rsid w:val="00121D1D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1CD8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51E5"/>
    <w:rsid w:val="0018092E"/>
    <w:rsid w:val="001827BF"/>
    <w:rsid w:val="00187DA1"/>
    <w:rsid w:val="00187E4A"/>
    <w:rsid w:val="00190518"/>
    <w:rsid w:val="00191877"/>
    <w:rsid w:val="00191DB5"/>
    <w:rsid w:val="001A20DA"/>
    <w:rsid w:val="001A35EC"/>
    <w:rsid w:val="001A4409"/>
    <w:rsid w:val="001A46A9"/>
    <w:rsid w:val="001A4905"/>
    <w:rsid w:val="001A5CF3"/>
    <w:rsid w:val="001A5F9D"/>
    <w:rsid w:val="001A67C5"/>
    <w:rsid w:val="001A78B0"/>
    <w:rsid w:val="001B19F7"/>
    <w:rsid w:val="001B2A01"/>
    <w:rsid w:val="001B31A6"/>
    <w:rsid w:val="001B3880"/>
    <w:rsid w:val="001B421D"/>
    <w:rsid w:val="001B4664"/>
    <w:rsid w:val="001B4B0F"/>
    <w:rsid w:val="001B5E67"/>
    <w:rsid w:val="001B6667"/>
    <w:rsid w:val="001B7DD3"/>
    <w:rsid w:val="001C02C3"/>
    <w:rsid w:val="001C0FCC"/>
    <w:rsid w:val="001C1D1B"/>
    <w:rsid w:val="001C55C4"/>
    <w:rsid w:val="001C5680"/>
    <w:rsid w:val="001D0117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72EA"/>
    <w:rsid w:val="0021041D"/>
    <w:rsid w:val="00210ADB"/>
    <w:rsid w:val="0021181D"/>
    <w:rsid w:val="00214B2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365FE"/>
    <w:rsid w:val="002414AF"/>
    <w:rsid w:val="00241907"/>
    <w:rsid w:val="00243458"/>
    <w:rsid w:val="00246BF4"/>
    <w:rsid w:val="0025068A"/>
    <w:rsid w:val="002506E8"/>
    <w:rsid w:val="00253405"/>
    <w:rsid w:val="00254B96"/>
    <w:rsid w:val="00256443"/>
    <w:rsid w:val="00257CB6"/>
    <w:rsid w:val="00261FF5"/>
    <w:rsid w:val="002629B7"/>
    <w:rsid w:val="002633E6"/>
    <w:rsid w:val="00272D61"/>
    <w:rsid w:val="00273D83"/>
    <w:rsid w:val="00275011"/>
    <w:rsid w:val="00275576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73A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5F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59CD"/>
    <w:rsid w:val="00316BFF"/>
    <w:rsid w:val="00322B7E"/>
    <w:rsid w:val="00323E7E"/>
    <w:rsid w:val="00325B65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0923"/>
    <w:rsid w:val="003632C9"/>
    <w:rsid w:val="003643AF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1A4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554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07E02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55D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85C56"/>
    <w:rsid w:val="0049025E"/>
    <w:rsid w:val="004914CE"/>
    <w:rsid w:val="00492081"/>
    <w:rsid w:val="00493269"/>
    <w:rsid w:val="00494703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F0DCD"/>
    <w:rsid w:val="004F1108"/>
    <w:rsid w:val="004F14F1"/>
    <w:rsid w:val="004F1E85"/>
    <w:rsid w:val="004F4F03"/>
    <w:rsid w:val="004F6136"/>
    <w:rsid w:val="00500A47"/>
    <w:rsid w:val="00501055"/>
    <w:rsid w:val="005016F6"/>
    <w:rsid w:val="005021B5"/>
    <w:rsid w:val="005026B0"/>
    <w:rsid w:val="0050328C"/>
    <w:rsid w:val="0050748B"/>
    <w:rsid w:val="005106AC"/>
    <w:rsid w:val="00511470"/>
    <w:rsid w:val="00515632"/>
    <w:rsid w:val="0051564B"/>
    <w:rsid w:val="005174CE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1361"/>
    <w:rsid w:val="005862C4"/>
    <w:rsid w:val="005864E4"/>
    <w:rsid w:val="0058702C"/>
    <w:rsid w:val="0059124B"/>
    <w:rsid w:val="00595C0F"/>
    <w:rsid w:val="00595CFA"/>
    <w:rsid w:val="00596650"/>
    <w:rsid w:val="00596755"/>
    <w:rsid w:val="00597C2B"/>
    <w:rsid w:val="005A0E07"/>
    <w:rsid w:val="005A1329"/>
    <w:rsid w:val="005A4ECA"/>
    <w:rsid w:val="005B0B8D"/>
    <w:rsid w:val="005B230D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BC"/>
    <w:rsid w:val="00605B4F"/>
    <w:rsid w:val="0061011D"/>
    <w:rsid w:val="006116B9"/>
    <w:rsid w:val="00611BB6"/>
    <w:rsid w:val="00613782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DA7"/>
    <w:rsid w:val="006973CD"/>
    <w:rsid w:val="006A5358"/>
    <w:rsid w:val="006A6111"/>
    <w:rsid w:val="006A628E"/>
    <w:rsid w:val="006B08F9"/>
    <w:rsid w:val="006B29E2"/>
    <w:rsid w:val="006C0FB6"/>
    <w:rsid w:val="006C1ED0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2CC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107F4"/>
    <w:rsid w:val="0071120A"/>
    <w:rsid w:val="00716559"/>
    <w:rsid w:val="0072029A"/>
    <w:rsid w:val="00721389"/>
    <w:rsid w:val="00721674"/>
    <w:rsid w:val="00722859"/>
    <w:rsid w:val="007237DD"/>
    <w:rsid w:val="0072386A"/>
    <w:rsid w:val="007245E2"/>
    <w:rsid w:val="00730AB8"/>
    <w:rsid w:val="00730F9B"/>
    <w:rsid w:val="007320F4"/>
    <w:rsid w:val="00733EF4"/>
    <w:rsid w:val="0073476C"/>
    <w:rsid w:val="007357F4"/>
    <w:rsid w:val="00735D48"/>
    <w:rsid w:val="007366B8"/>
    <w:rsid w:val="00736B6C"/>
    <w:rsid w:val="00737849"/>
    <w:rsid w:val="00744408"/>
    <w:rsid w:val="00745E54"/>
    <w:rsid w:val="007460DD"/>
    <w:rsid w:val="00750CC4"/>
    <w:rsid w:val="007526CF"/>
    <w:rsid w:val="0075425A"/>
    <w:rsid w:val="007555F5"/>
    <w:rsid w:val="007576B2"/>
    <w:rsid w:val="007618C3"/>
    <w:rsid w:val="00761E51"/>
    <w:rsid w:val="00762547"/>
    <w:rsid w:val="007646E6"/>
    <w:rsid w:val="0076529E"/>
    <w:rsid w:val="0076601D"/>
    <w:rsid w:val="00773816"/>
    <w:rsid w:val="00774108"/>
    <w:rsid w:val="00776A07"/>
    <w:rsid w:val="00777F74"/>
    <w:rsid w:val="0078283F"/>
    <w:rsid w:val="00786B12"/>
    <w:rsid w:val="007874FE"/>
    <w:rsid w:val="00790123"/>
    <w:rsid w:val="00790A3F"/>
    <w:rsid w:val="00790CDC"/>
    <w:rsid w:val="007911D2"/>
    <w:rsid w:val="00792A04"/>
    <w:rsid w:val="00792E8B"/>
    <w:rsid w:val="00794912"/>
    <w:rsid w:val="007978EC"/>
    <w:rsid w:val="007A7E38"/>
    <w:rsid w:val="007B01F5"/>
    <w:rsid w:val="007B15D9"/>
    <w:rsid w:val="007B2014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309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07546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1FE8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60247"/>
    <w:rsid w:val="00863BB6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5EE9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3A62"/>
    <w:rsid w:val="0092463C"/>
    <w:rsid w:val="00925D48"/>
    <w:rsid w:val="00926A5F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45D9A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C1390"/>
    <w:rsid w:val="009C21A2"/>
    <w:rsid w:val="009C45F3"/>
    <w:rsid w:val="009C4B69"/>
    <w:rsid w:val="009C5191"/>
    <w:rsid w:val="009C52E4"/>
    <w:rsid w:val="009C5768"/>
    <w:rsid w:val="009D01D3"/>
    <w:rsid w:val="009D0491"/>
    <w:rsid w:val="009D0E38"/>
    <w:rsid w:val="009D3E83"/>
    <w:rsid w:val="009D563D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55AB2"/>
    <w:rsid w:val="00A6033D"/>
    <w:rsid w:val="00A604FB"/>
    <w:rsid w:val="00A6339A"/>
    <w:rsid w:val="00A64C2D"/>
    <w:rsid w:val="00A66DF4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AF786F"/>
    <w:rsid w:val="00B00CC8"/>
    <w:rsid w:val="00B01907"/>
    <w:rsid w:val="00B01CC2"/>
    <w:rsid w:val="00B02B5E"/>
    <w:rsid w:val="00B03C05"/>
    <w:rsid w:val="00B03CE9"/>
    <w:rsid w:val="00B046C1"/>
    <w:rsid w:val="00B07100"/>
    <w:rsid w:val="00B0733E"/>
    <w:rsid w:val="00B07428"/>
    <w:rsid w:val="00B10DC6"/>
    <w:rsid w:val="00B128A1"/>
    <w:rsid w:val="00B157AA"/>
    <w:rsid w:val="00B15D39"/>
    <w:rsid w:val="00B16ED0"/>
    <w:rsid w:val="00B21A17"/>
    <w:rsid w:val="00B21E1B"/>
    <w:rsid w:val="00B21E76"/>
    <w:rsid w:val="00B2545C"/>
    <w:rsid w:val="00B2638F"/>
    <w:rsid w:val="00B27195"/>
    <w:rsid w:val="00B30597"/>
    <w:rsid w:val="00B34F96"/>
    <w:rsid w:val="00B3543B"/>
    <w:rsid w:val="00B41B68"/>
    <w:rsid w:val="00B42015"/>
    <w:rsid w:val="00B42885"/>
    <w:rsid w:val="00B43B99"/>
    <w:rsid w:val="00B44E7F"/>
    <w:rsid w:val="00B4673F"/>
    <w:rsid w:val="00B53357"/>
    <w:rsid w:val="00B542D4"/>
    <w:rsid w:val="00B54EF2"/>
    <w:rsid w:val="00B5533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C5D"/>
    <w:rsid w:val="00B84EA4"/>
    <w:rsid w:val="00B9442E"/>
    <w:rsid w:val="00B953AF"/>
    <w:rsid w:val="00B958F7"/>
    <w:rsid w:val="00B9617F"/>
    <w:rsid w:val="00B96508"/>
    <w:rsid w:val="00B96BE9"/>
    <w:rsid w:val="00BA307C"/>
    <w:rsid w:val="00BA434E"/>
    <w:rsid w:val="00BA5076"/>
    <w:rsid w:val="00BA73BA"/>
    <w:rsid w:val="00BB0475"/>
    <w:rsid w:val="00BB092D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B7CF0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C97"/>
    <w:rsid w:val="00BD7D5B"/>
    <w:rsid w:val="00BE0239"/>
    <w:rsid w:val="00BE026A"/>
    <w:rsid w:val="00BE174E"/>
    <w:rsid w:val="00BE1D83"/>
    <w:rsid w:val="00BE383D"/>
    <w:rsid w:val="00BE3943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01F9"/>
    <w:rsid w:val="00C11DB8"/>
    <w:rsid w:val="00C1201D"/>
    <w:rsid w:val="00C12750"/>
    <w:rsid w:val="00C13BF4"/>
    <w:rsid w:val="00C1594D"/>
    <w:rsid w:val="00C1769C"/>
    <w:rsid w:val="00C17B4F"/>
    <w:rsid w:val="00C20328"/>
    <w:rsid w:val="00C21E6A"/>
    <w:rsid w:val="00C226F4"/>
    <w:rsid w:val="00C23225"/>
    <w:rsid w:val="00C23FEA"/>
    <w:rsid w:val="00C252A5"/>
    <w:rsid w:val="00C254E2"/>
    <w:rsid w:val="00C26E83"/>
    <w:rsid w:val="00C32300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E0F"/>
    <w:rsid w:val="00CD0DE8"/>
    <w:rsid w:val="00CD50F2"/>
    <w:rsid w:val="00CD7648"/>
    <w:rsid w:val="00CE264E"/>
    <w:rsid w:val="00CE37CC"/>
    <w:rsid w:val="00CF088E"/>
    <w:rsid w:val="00CF0C82"/>
    <w:rsid w:val="00CF0CF3"/>
    <w:rsid w:val="00CF5452"/>
    <w:rsid w:val="00CF7DAC"/>
    <w:rsid w:val="00D002ED"/>
    <w:rsid w:val="00D00435"/>
    <w:rsid w:val="00D01822"/>
    <w:rsid w:val="00D0239A"/>
    <w:rsid w:val="00D03DF9"/>
    <w:rsid w:val="00D03E6E"/>
    <w:rsid w:val="00D042E1"/>
    <w:rsid w:val="00D047D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CEE"/>
    <w:rsid w:val="00D93FA8"/>
    <w:rsid w:val="00D968E0"/>
    <w:rsid w:val="00D97DEE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317B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0042"/>
    <w:rsid w:val="00DF10BC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3B1F"/>
    <w:rsid w:val="00E16113"/>
    <w:rsid w:val="00E21262"/>
    <w:rsid w:val="00E22FC6"/>
    <w:rsid w:val="00E23BD6"/>
    <w:rsid w:val="00E23FA1"/>
    <w:rsid w:val="00E24794"/>
    <w:rsid w:val="00E247DE"/>
    <w:rsid w:val="00E249A9"/>
    <w:rsid w:val="00E32E25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0D9"/>
    <w:rsid w:val="00E736EE"/>
    <w:rsid w:val="00E7392A"/>
    <w:rsid w:val="00E74977"/>
    <w:rsid w:val="00E7540D"/>
    <w:rsid w:val="00E808D5"/>
    <w:rsid w:val="00E810B7"/>
    <w:rsid w:val="00E810FF"/>
    <w:rsid w:val="00E81E82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3ED"/>
    <w:rsid w:val="00EE184B"/>
    <w:rsid w:val="00EE1BAA"/>
    <w:rsid w:val="00EE1F9A"/>
    <w:rsid w:val="00EE2BFE"/>
    <w:rsid w:val="00EE4FA9"/>
    <w:rsid w:val="00EE5F15"/>
    <w:rsid w:val="00EE6B2B"/>
    <w:rsid w:val="00EE7044"/>
    <w:rsid w:val="00EE76B9"/>
    <w:rsid w:val="00EF486C"/>
    <w:rsid w:val="00EF4BDA"/>
    <w:rsid w:val="00EF560B"/>
    <w:rsid w:val="00F007A1"/>
    <w:rsid w:val="00F050D8"/>
    <w:rsid w:val="00F0685B"/>
    <w:rsid w:val="00F06DF2"/>
    <w:rsid w:val="00F07821"/>
    <w:rsid w:val="00F108CC"/>
    <w:rsid w:val="00F10DE2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3095"/>
    <w:rsid w:val="00F54DCD"/>
    <w:rsid w:val="00F57328"/>
    <w:rsid w:val="00F61B05"/>
    <w:rsid w:val="00F61BDD"/>
    <w:rsid w:val="00F63CDC"/>
    <w:rsid w:val="00F724AE"/>
    <w:rsid w:val="00F74B18"/>
    <w:rsid w:val="00F769FC"/>
    <w:rsid w:val="00F77CDA"/>
    <w:rsid w:val="00F86319"/>
    <w:rsid w:val="00F87E0F"/>
    <w:rsid w:val="00F96873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0FD7"/>
    <w:rsid w:val="00FC104F"/>
    <w:rsid w:val="00FC2C91"/>
    <w:rsid w:val="00FC313B"/>
    <w:rsid w:val="00FC4DCA"/>
    <w:rsid w:val="00FC6D4B"/>
    <w:rsid w:val="00FC6EE2"/>
    <w:rsid w:val="00FD0475"/>
    <w:rsid w:val="00FD250A"/>
    <w:rsid w:val="00FD32EB"/>
    <w:rsid w:val="00FD40B9"/>
    <w:rsid w:val="00FE4473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5290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unhideWhenUsed/>
    <w:rsid w:val="006C1ED0"/>
    <w:rPr>
      <w:color w:val="0000FF" w:themeColor="hyperlink"/>
      <w:u w:val="single"/>
    </w:rPr>
  </w:style>
  <w:style w:type="paragraph" w:customStyle="1" w:styleId="ConsPlusNonformat">
    <w:name w:val="ConsPlusNonformat"/>
    <w:rsid w:val="001B4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8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4DBE7AB1F590D53783D3451C71088D570FDA232097A3A6970EB790494C11603CDE35F3254661453C4CB105619AE35369DJ946G" TargetMode="External"/><Relationship Id="rId17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0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22E7B812D71073435EA53C4F4B3D7E78D8D1DA9F298B09479DADBED75594665C64CE89CFB841C567DEC6104B432BB6BC5B64D841ACCA19sD01H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0" Type="http://schemas.openxmlformats.org/officeDocument/2006/relationships/hyperlink" Target="consultantplus://offline/ref=B4DBE7AB1F590D53783D3451C71088D570FDA232097A3A6970EB790494C11603CDE35F3254661453C4CB105619AE35369DJ946G" TargetMode="External"/><Relationship Id="rId19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E77E-E9A1-4076-A197-24D4CF0F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21798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43</cp:revision>
  <cp:lastPrinted>2023-09-08T04:47:00Z</cp:lastPrinted>
  <dcterms:created xsi:type="dcterms:W3CDTF">2022-12-12T07:59:00Z</dcterms:created>
  <dcterms:modified xsi:type="dcterms:W3CDTF">2023-09-08T04:49:00Z</dcterms:modified>
</cp:coreProperties>
</file>