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0A7186">
      <w:pPr>
        <w:tabs>
          <w:tab w:val="left" w:pos="0"/>
        </w:tabs>
        <w:rPr>
          <w:color w:val="000000"/>
          <w:sz w:val="28"/>
          <w:szCs w:val="28"/>
        </w:rPr>
      </w:pPr>
    </w:p>
    <w:p w:rsidR="000E7070" w:rsidRPr="004E2DE9" w:rsidRDefault="00007A2E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E057D8" w:rsidRDefault="00E057D8" w:rsidP="000E7070">
      <w:pPr>
        <w:jc w:val="both"/>
        <w:rPr>
          <w:color w:val="000000"/>
          <w:sz w:val="28"/>
          <w:szCs w:val="28"/>
        </w:rPr>
      </w:pPr>
    </w:p>
    <w:p w:rsidR="000E7070" w:rsidRPr="00371B0F" w:rsidRDefault="00E057D8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20.12</w:t>
      </w:r>
      <w:r w:rsidR="00995CD3">
        <w:rPr>
          <w:color w:val="000000"/>
          <w:sz w:val="28"/>
          <w:szCs w:val="28"/>
        </w:rPr>
        <w:t>.202</w:t>
      </w:r>
      <w:r w:rsidR="00647FD3">
        <w:rPr>
          <w:color w:val="000000"/>
          <w:sz w:val="28"/>
          <w:szCs w:val="28"/>
        </w:rPr>
        <w:t>2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>
        <w:rPr>
          <w:color w:val="000000"/>
          <w:sz w:val="28"/>
          <w:szCs w:val="28"/>
        </w:rPr>
        <w:t>765</w:t>
      </w:r>
    </w:p>
    <w:p w:rsidR="000E7070" w:rsidRPr="004E2DE9" w:rsidRDefault="000E7070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AA54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8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>131-ФЗ «Об общих принципах организации местного самоуправления в Российской Федерации», 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636D8"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A477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</w:t>
      </w:r>
      <w:r w:rsidR="00E057D8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007A2E" w:rsidRDefault="00007A2E" w:rsidP="00007A2E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Пункт 2.6.2. Положения изложить в следующей редакции:</w:t>
      </w:r>
    </w:p>
    <w:p w:rsidR="00007A2E" w:rsidRPr="00007A2E" w:rsidRDefault="00007A2E" w:rsidP="00007A2E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007A2E" w:rsidRPr="00986E20" w:rsidRDefault="00007A2E" w:rsidP="00007A2E">
      <w:pPr>
        <w:autoSpaceDE w:val="0"/>
        <w:autoSpaceDN w:val="0"/>
        <w:adjustRightInd w:val="0"/>
        <w:ind w:left="1845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007A2E" w:rsidRPr="004C40E4" w:rsidTr="006B279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007A2E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1C7245" w:rsidP="001C724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31584C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FE0073"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31584C" w:rsidP="003158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9</w:t>
            </w:r>
            <w:r w:rsidR="007D40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B93FA9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15</w:t>
            </w:r>
            <w:r w:rsidR="007D4012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1C724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="001C7245"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31584C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B93FA9">
              <w:rPr>
                <w:rFonts w:ascii="Times New Roman" w:hAnsi="Times New Roman" w:cs="Times New Roman"/>
                <w:sz w:val="24"/>
                <w:szCs w:val="28"/>
              </w:rPr>
              <w:t>о 17</w:t>
            </w:r>
            <w:r w:rsidR="00FE0073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FE007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B93FA9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</w:t>
            </w:r>
            <w:r w:rsidR="00FE0073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B93FA9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14</w:t>
            </w:r>
            <w:r w:rsidR="00FE0073" w:rsidRPr="003158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130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130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FE0073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73" w:rsidRPr="0031584C" w:rsidRDefault="00FE0073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73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6170D6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3D75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6170D6" w:rsidRPr="003D7522" w:rsidTr="006B279D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6170D6" w:rsidP="007D40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7D4012" w:rsidRPr="0031584C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6170D6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6170D6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6170D6" w:rsidRPr="003D7522" w:rsidTr="006170D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6170D6" w:rsidRPr="003D7522" w:rsidTr="00341FB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6170D6" w:rsidRPr="003D7522" w:rsidTr="00341FB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D6" w:rsidRPr="0031584C" w:rsidRDefault="006170D6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D6" w:rsidRPr="0031584C" w:rsidRDefault="007D401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341FB8" w:rsidRPr="003D7522" w:rsidTr="00341FB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B8" w:rsidRPr="0031584C" w:rsidRDefault="00341FB8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B8" w:rsidRPr="0031584C" w:rsidRDefault="00341FB8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FB8" w:rsidRPr="0031584C" w:rsidRDefault="00341FB8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</w:tbl>
    <w:p w:rsidR="001C7245" w:rsidRPr="003D7522" w:rsidRDefault="001C7245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1</w:t>
      </w:r>
      <w:r w:rsidRPr="003D7522">
        <w:rPr>
          <w:sz w:val="22"/>
          <w:szCs w:val="28"/>
        </w:rPr>
        <w:t>кроме заместителя руководителя ЕДДС;</w:t>
      </w:r>
    </w:p>
    <w:p w:rsidR="001C7245" w:rsidRPr="003D7522" w:rsidRDefault="001C7245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 w:rsidRPr="003D7522">
        <w:rPr>
          <w:sz w:val="22"/>
          <w:szCs w:val="28"/>
          <w:vertAlign w:val="superscript"/>
        </w:rPr>
        <w:t>2</w:t>
      </w:r>
      <w:r w:rsidRPr="003D7522">
        <w:rPr>
          <w:sz w:val="22"/>
          <w:szCs w:val="28"/>
        </w:rPr>
        <w:t>кроме водителя автомобиля ЕДДС</w:t>
      </w:r>
    </w:p>
    <w:p w:rsidR="001C7245" w:rsidRPr="003D7522" w:rsidRDefault="001C7245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</w:p>
    <w:p w:rsidR="007D4012" w:rsidRPr="003D7522" w:rsidRDefault="00007A2E" w:rsidP="007D401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</w:t>
      </w:r>
      <w:r w:rsidR="007D4012" w:rsidRPr="003D7522">
        <w:rPr>
          <w:sz w:val="28"/>
          <w:szCs w:val="28"/>
        </w:rPr>
        <w:t>»;</w:t>
      </w:r>
    </w:p>
    <w:p w:rsidR="007D4012" w:rsidRPr="00E057D8" w:rsidRDefault="00E057D8" w:rsidP="00E057D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</w:t>
      </w:r>
      <w:r w:rsidR="007D4012" w:rsidRPr="00E057D8">
        <w:rPr>
          <w:sz w:val="28"/>
          <w:szCs w:val="28"/>
        </w:rPr>
        <w:t>Пункт 2.6.3. Положения изложить в следующей редакции:</w:t>
      </w:r>
    </w:p>
    <w:p w:rsidR="00007A2E" w:rsidRPr="007D4012" w:rsidRDefault="007D4012" w:rsidP="00E057D8">
      <w:pPr>
        <w:pStyle w:val="a7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D7522">
        <w:rPr>
          <w:sz w:val="28"/>
          <w:szCs w:val="28"/>
        </w:rPr>
        <w:t xml:space="preserve">«2.6.3. </w:t>
      </w:r>
      <w:r w:rsidR="00007A2E" w:rsidRPr="003D7522">
        <w:rPr>
          <w:sz w:val="28"/>
          <w:szCs w:val="28"/>
        </w:rPr>
        <w:t>Ежемесячная надбавка за ненормированный рабочий день</w:t>
      </w:r>
      <w:r w:rsidR="00007A2E" w:rsidRPr="007D4012">
        <w:rPr>
          <w:sz w:val="28"/>
          <w:szCs w:val="28"/>
        </w:rPr>
        <w:t xml:space="preserve"> устанавливается по должностям работников учреждения в процентном отношении от должностного оклада в следующем порядке:</w:t>
      </w:r>
    </w:p>
    <w:p w:rsidR="00007A2E" w:rsidRPr="004C40E4" w:rsidRDefault="00007A2E" w:rsidP="007D4012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tbl>
      <w:tblPr>
        <w:tblW w:w="95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303"/>
        <w:gridCol w:w="2693"/>
      </w:tblGrid>
      <w:tr w:rsidR="00007A2E" w:rsidRPr="004C40E4" w:rsidTr="007D401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E" w:rsidRPr="0031584C" w:rsidRDefault="00007A2E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3D7522" w:rsidRPr="004C40E4" w:rsidTr="0031584C">
        <w:trPr>
          <w:trHeight w:val="1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D7522" w:rsidRPr="0031584C" w:rsidRDefault="003D7522" w:rsidP="007D40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50</w:t>
            </w: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="00363DB0"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Инженер </w:t>
            </w:r>
            <w:r w:rsidR="00341FB8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 сметчик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522" w:rsidRPr="0031584C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30</w:t>
            </w: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522" w:rsidRPr="00CE7E1E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22" w:rsidRPr="004C40E4" w:rsidTr="003D752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22" w:rsidRPr="0031584C" w:rsidRDefault="003D7522" w:rsidP="00007A2E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22" w:rsidRPr="00CE7E1E" w:rsidRDefault="003D7522" w:rsidP="00007A2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DB0" w:rsidRPr="003D7522" w:rsidRDefault="00363DB0" w:rsidP="00363DB0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8"/>
        </w:rPr>
      </w:pPr>
      <w:r>
        <w:rPr>
          <w:sz w:val="22"/>
          <w:szCs w:val="28"/>
          <w:vertAlign w:val="superscript"/>
        </w:rPr>
        <w:t>1</w:t>
      </w:r>
      <w:r w:rsidRPr="003D7522">
        <w:rPr>
          <w:sz w:val="22"/>
          <w:szCs w:val="28"/>
        </w:rPr>
        <w:t>кроме водителя автомобиля ЕДДС</w:t>
      </w:r>
    </w:p>
    <w:p w:rsidR="00007A2E" w:rsidRDefault="00007A2E" w:rsidP="00007A2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007A2E" w:rsidRDefault="00007A2E" w:rsidP="00007A2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C40E4">
        <w:rPr>
          <w:sz w:val="28"/>
          <w:szCs w:val="28"/>
        </w:rPr>
        <w:t>Конкретный размер ежемесячной надбавки за ненормированный рабочий день устана</w:t>
      </w:r>
      <w:r>
        <w:rPr>
          <w:sz w:val="28"/>
          <w:szCs w:val="28"/>
        </w:rPr>
        <w:t>вливается работникам учреждения приказом</w:t>
      </w:r>
      <w:r w:rsidRPr="004C40E4">
        <w:rPr>
          <w:sz w:val="28"/>
          <w:szCs w:val="28"/>
        </w:rPr>
        <w:t xml:space="preserve"> руководителя учреждения. Размер ежемесячной надбавки за ненормированный рабочий день зависит от объёмов работы за пределами установленной прод</w:t>
      </w:r>
      <w:r w:rsidR="00D871C7">
        <w:rPr>
          <w:sz w:val="28"/>
          <w:szCs w:val="28"/>
        </w:rPr>
        <w:t>олжительности рабочего времени</w:t>
      </w:r>
      <w:proofErr w:type="gramStart"/>
      <w:r w:rsidR="00D871C7">
        <w:rPr>
          <w:sz w:val="28"/>
          <w:szCs w:val="28"/>
        </w:rPr>
        <w:t>.»;</w:t>
      </w:r>
      <w:proofErr w:type="gramEnd"/>
    </w:p>
    <w:p w:rsidR="00D871C7" w:rsidRPr="00E057D8" w:rsidRDefault="00E057D8" w:rsidP="00E057D8">
      <w:pPr>
        <w:autoSpaceDE w:val="0"/>
        <w:autoSpaceDN w:val="0"/>
        <w:adjustRightInd w:val="0"/>
        <w:ind w:left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871C7" w:rsidRPr="00E057D8">
        <w:rPr>
          <w:sz w:val="28"/>
          <w:szCs w:val="28"/>
        </w:rPr>
        <w:t>Пункт 2.6.4. Положения изложить в следующей редакции:</w:t>
      </w:r>
    </w:p>
    <w:p w:rsidR="00007A2E" w:rsidRDefault="00D871C7" w:rsidP="00D871C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«2.6.4. </w:t>
      </w:r>
      <w:r w:rsidR="00007A2E">
        <w:rPr>
          <w:sz w:val="28"/>
          <w:szCs w:val="28"/>
        </w:rPr>
        <w:t>Ежемесячная надбавка за сложность и напряженность труда устанавливается приказом руководителя учреждения в процентном отношении от должностного оклада в следующем порядке:</w:t>
      </w:r>
    </w:p>
    <w:p w:rsidR="00007A2E" w:rsidRDefault="00007A2E" w:rsidP="00007A2E">
      <w:pPr>
        <w:autoSpaceDE w:val="0"/>
        <w:autoSpaceDN w:val="0"/>
        <w:adjustRightInd w:val="0"/>
        <w:ind w:left="1845"/>
        <w:jc w:val="both"/>
        <w:outlineLvl w:val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46"/>
        <w:gridCol w:w="2801"/>
      </w:tblGrid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ind w:right="-7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% от должностного оклада</w:t>
            </w:r>
          </w:p>
        </w:tc>
      </w:tr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lastRenderedPageBreak/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D871C7">
            <w:pPr>
              <w:autoSpaceDE w:val="0"/>
              <w:autoSpaceDN w:val="0"/>
              <w:adjustRightInd w:val="0"/>
              <w:ind w:left="68" w:hanging="68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Диспетчер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до 50</w:t>
            </w:r>
          </w:p>
        </w:tc>
      </w:tr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D871C7" w:rsidP="00007A2E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Заместитель руководителя (ЕДДС)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до 60</w:t>
            </w:r>
          </w:p>
        </w:tc>
      </w:tr>
      <w:tr w:rsidR="00007A2E" w:rsidTr="00007A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D871C7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Водитель автомобиля</w:t>
            </w:r>
            <w:r w:rsidR="00D871C7" w:rsidRPr="0031584C">
              <w:rPr>
                <w:szCs w:val="28"/>
              </w:rPr>
              <w:t xml:space="preserve"> (ЕДДС)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E" w:rsidRPr="0031584C" w:rsidRDefault="00007A2E" w:rsidP="00007A2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31584C">
              <w:rPr>
                <w:szCs w:val="28"/>
              </w:rPr>
              <w:t>до 60</w:t>
            </w:r>
          </w:p>
        </w:tc>
      </w:tr>
    </w:tbl>
    <w:p w:rsidR="00A27988" w:rsidRDefault="00A27988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27988" w:rsidRDefault="00D871C7" w:rsidP="00A279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A27988">
        <w:rPr>
          <w:sz w:val="28"/>
          <w:szCs w:val="28"/>
        </w:rPr>
        <w:t xml:space="preserve"> пункт 3.6 изложить в следующей редакции:</w:t>
      </w:r>
    </w:p>
    <w:p w:rsidR="00A27988" w:rsidRDefault="00A27988" w:rsidP="00A279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40E4">
        <w:rPr>
          <w:sz w:val="28"/>
          <w:szCs w:val="28"/>
        </w:rPr>
        <w:t xml:space="preserve">3.6. Ежемесячная надбавка за особые условия работы руководителю учреждения устанавливается распоряжением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</w:t>
      </w:r>
      <w:r>
        <w:rPr>
          <w:sz w:val="28"/>
          <w:szCs w:val="28"/>
        </w:rPr>
        <w:t>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A27988" w:rsidRPr="004C40E4" w:rsidTr="001D13C0">
        <w:tc>
          <w:tcPr>
            <w:tcW w:w="663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A27988" w:rsidRPr="0031584C" w:rsidRDefault="00A27988" w:rsidP="00A2798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A27988" w:rsidTr="001D13C0">
        <w:tc>
          <w:tcPr>
            <w:tcW w:w="663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A27988" w:rsidRPr="0031584C" w:rsidRDefault="00A27988" w:rsidP="001D13C0">
            <w:r w:rsidRPr="0031584C">
              <w:rPr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  <w:tr w:rsidR="00A27988" w:rsidTr="001D13C0">
        <w:tc>
          <w:tcPr>
            <w:tcW w:w="663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679" w:type="dxa"/>
          </w:tcPr>
          <w:p w:rsidR="00A27988" w:rsidRPr="0031584C" w:rsidRDefault="00A27988" w:rsidP="001D13C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150</w:t>
            </w:r>
          </w:p>
        </w:tc>
      </w:tr>
      <w:tr w:rsidR="00A27988" w:rsidTr="001D13C0">
        <w:tc>
          <w:tcPr>
            <w:tcW w:w="663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679" w:type="dxa"/>
          </w:tcPr>
          <w:p w:rsidR="00A27988" w:rsidRPr="0031584C" w:rsidRDefault="00A27988" w:rsidP="001D13C0">
            <w:r w:rsidRPr="0031584C">
              <w:rPr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</w:tbl>
    <w:p w:rsidR="00A27988" w:rsidRDefault="00A27988" w:rsidP="00A279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7988" w:rsidRPr="004C40E4" w:rsidRDefault="00A27988" w:rsidP="00A279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за сложность и напряженность труда руководителю учреждения устанавливается распоряжением администрации Юсьвинского муниципального округа Пермского края </w:t>
      </w:r>
      <w:r w:rsidRPr="004C40E4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A27988" w:rsidRPr="004C40E4" w:rsidTr="001D13C0">
        <w:tc>
          <w:tcPr>
            <w:tcW w:w="663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A27988" w:rsidRPr="0031584C" w:rsidRDefault="00A27988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A27988" w:rsidTr="001D13C0">
        <w:tc>
          <w:tcPr>
            <w:tcW w:w="663" w:type="dxa"/>
          </w:tcPr>
          <w:p w:rsidR="00A27988" w:rsidRPr="0031584C" w:rsidRDefault="00E057D8" w:rsidP="001D13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A27988" w:rsidRPr="0031584C" w:rsidRDefault="00A27988" w:rsidP="001D13C0">
            <w:r w:rsidRPr="0031584C">
              <w:rPr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A27988" w:rsidRPr="0031584C" w:rsidRDefault="00B7564B" w:rsidP="001D13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150</w:t>
            </w:r>
          </w:p>
        </w:tc>
      </w:tr>
    </w:tbl>
    <w:p w:rsidR="00A27988" w:rsidRPr="004C40E4" w:rsidRDefault="00A27988" w:rsidP="00A279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77D1" w:rsidRDefault="00A27988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D871C7">
        <w:rPr>
          <w:sz w:val="28"/>
          <w:szCs w:val="28"/>
        </w:rPr>
        <w:t xml:space="preserve"> 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B7564B" w:rsidRPr="007F488E" w:rsidRDefault="00B7564B" w:rsidP="001D1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  <w:r w:rsidRPr="004C40E4">
              <w:t>,2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</w:t>
            </w:r>
            <w:r>
              <w:t>1,8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4C40E4" w:rsidRDefault="009B514E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40,2</w:t>
            </w:r>
            <w:r w:rsidR="00B7564B">
              <w:t xml:space="preserve"> </w:t>
            </w:r>
            <w:r w:rsidR="00B7564B" w:rsidRPr="000534F5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4C40E4" w:rsidRDefault="009B514E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45,0</w:t>
            </w:r>
            <w:r w:rsidR="00817499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4C40E4" w:rsidRDefault="0031584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28,0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0534F5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1D1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1D1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34,2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4536" w:type="dxa"/>
          </w:tcPr>
          <w:p w:rsidR="00817499" w:rsidRDefault="00817499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Default="0031584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29,4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0534F5" w:rsidRDefault="00817499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0534F5" w:rsidRDefault="00363DB0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24,6</w:t>
            </w:r>
            <w:r w:rsidR="00817499" w:rsidRPr="000534F5">
              <w:t xml:space="preserve"> должностных окладов в год на заработную плату, 2 должностных оклада </w:t>
            </w:r>
            <w:r w:rsidR="00817499" w:rsidRPr="000534F5">
              <w:lastRenderedPageBreak/>
              <w:t>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0534F5" w:rsidRDefault="009B514E" w:rsidP="001D13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35,4</w:t>
            </w:r>
            <w:r w:rsidR="00817499"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34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 и </w:t>
            </w:r>
            <w:r w:rsidRPr="000534F5">
              <w:rPr>
                <w:rFonts w:ascii="Times New Roman" w:hAnsi="Times New Roman" w:cs="Times New Roman"/>
                <w:sz w:val="24"/>
                <w:szCs w:val="24"/>
              </w:rPr>
              <w:t>обслуживанию электрооборудования</w:t>
            </w:r>
          </w:p>
        </w:tc>
        <w:tc>
          <w:tcPr>
            <w:tcW w:w="4536" w:type="dxa"/>
          </w:tcPr>
          <w:p w:rsidR="00817499" w:rsidRPr="000534F5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Default="00E57688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4536" w:type="dxa"/>
          </w:tcPr>
          <w:p w:rsidR="00E57688" w:rsidRPr="00A94253" w:rsidRDefault="00E57688" w:rsidP="001D13C0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0534F5" w:rsidRDefault="00E57688" w:rsidP="00E576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22,8</w:t>
            </w:r>
            <w:r w:rsidR="00817499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E57688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E57688">
              <w:t>24,4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E57688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E57688">
              <w:t>24,4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E57688" w:rsidRDefault="00817499" w:rsidP="00E57688">
            <w:r w:rsidRPr="00E57688">
              <w:t>22,8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0534F5" w:rsidRDefault="00341FB8" w:rsidP="00BC397E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871C7" w:rsidRPr="00D871C7" w:rsidRDefault="00D871C7" w:rsidP="00D871C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31D5" w:rsidRDefault="00E57688" w:rsidP="001179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 xml:space="preserve">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proofErr w:type="gramStart"/>
      <w:r w:rsidRPr="00136264">
        <w:rPr>
          <w:sz w:val="28"/>
          <w:szCs w:val="28"/>
        </w:rPr>
        <w:t>Интернет</w:t>
      </w:r>
      <w:proofErr w:type="gramEnd"/>
      <w:r>
        <w:rPr>
          <w:sz w:val="28"/>
          <w:szCs w:val="28"/>
        </w:rPr>
        <w:t xml:space="preserve"> </w:t>
      </w:r>
      <w:r w:rsidR="00E057D8">
        <w:rPr>
          <w:sz w:val="28"/>
          <w:szCs w:val="28"/>
        </w:rPr>
        <w:t>но не ранее</w:t>
      </w:r>
      <w:bookmarkStart w:id="0" w:name="_GoBack"/>
      <w:bookmarkEnd w:id="0"/>
      <w:r w:rsidR="00864D57">
        <w:rPr>
          <w:sz w:val="28"/>
          <w:szCs w:val="28"/>
        </w:rPr>
        <w:t xml:space="preserve">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 01 </w:t>
      </w:r>
      <w:r>
        <w:rPr>
          <w:sz w:val="28"/>
          <w:szCs w:val="28"/>
        </w:rPr>
        <w:t>января</w:t>
      </w:r>
      <w:r w:rsidR="009931D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9931D5">
        <w:rPr>
          <w:sz w:val="28"/>
          <w:szCs w:val="28"/>
        </w:rPr>
        <w:t xml:space="preserve"> года.</w:t>
      </w:r>
    </w:p>
    <w:p w:rsidR="00117987" w:rsidRPr="004C03E7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>
        <w:rPr>
          <w:sz w:val="28"/>
          <w:szCs w:val="28"/>
        </w:rPr>
        <w:t>Власову Т.Е</w:t>
      </w:r>
      <w:r w:rsidR="002B3E48">
        <w:rPr>
          <w:sz w:val="28"/>
          <w:szCs w:val="28"/>
        </w:rPr>
        <w:t>.</w:t>
      </w:r>
      <w:r w:rsidR="00AA5404">
        <w:rPr>
          <w:sz w:val="28"/>
          <w:szCs w:val="28"/>
        </w:rPr>
        <w:t xml:space="preserve">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E57688" w:rsidP="004C03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57688">
        <w:rPr>
          <w:sz w:val="28"/>
          <w:szCs w:val="28"/>
        </w:rPr>
        <w:t>лавы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4D5359" w:rsidRDefault="004D5359" w:rsidP="00F636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4D5359" w:rsidSect="00E057D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106689"/>
    <w:rsid w:val="00114920"/>
    <w:rsid w:val="00117987"/>
    <w:rsid w:val="00120A7B"/>
    <w:rsid w:val="001248B6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C7245"/>
    <w:rsid w:val="001F0411"/>
    <w:rsid w:val="001F7A6E"/>
    <w:rsid w:val="0020429C"/>
    <w:rsid w:val="0020481D"/>
    <w:rsid w:val="00210B28"/>
    <w:rsid w:val="00214982"/>
    <w:rsid w:val="00214D8C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A1E78"/>
    <w:rsid w:val="002A2AA9"/>
    <w:rsid w:val="002A4211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A5360"/>
    <w:rsid w:val="003B2AC2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401F"/>
    <w:rsid w:val="004D5359"/>
    <w:rsid w:val="004E0834"/>
    <w:rsid w:val="004E2B90"/>
    <w:rsid w:val="004E69CF"/>
    <w:rsid w:val="004F3C9B"/>
    <w:rsid w:val="00500142"/>
    <w:rsid w:val="00500B73"/>
    <w:rsid w:val="0050737D"/>
    <w:rsid w:val="00511E21"/>
    <w:rsid w:val="00513540"/>
    <w:rsid w:val="00530709"/>
    <w:rsid w:val="00532993"/>
    <w:rsid w:val="00552F59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B362A"/>
    <w:rsid w:val="005B41DA"/>
    <w:rsid w:val="005B6EE5"/>
    <w:rsid w:val="005D3EBE"/>
    <w:rsid w:val="005E23C8"/>
    <w:rsid w:val="005F0E23"/>
    <w:rsid w:val="00604B11"/>
    <w:rsid w:val="00605F32"/>
    <w:rsid w:val="00611E30"/>
    <w:rsid w:val="006170D6"/>
    <w:rsid w:val="00624A42"/>
    <w:rsid w:val="00627C3B"/>
    <w:rsid w:val="00627C79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279D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32CC"/>
    <w:rsid w:val="00864D57"/>
    <w:rsid w:val="00881B2B"/>
    <w:rsid w:val="00891C49"/>
    <w:rsid w:val="0089215D"/>
    <w:rsid w:val="008A4DC7"/>
    <w:rsid w:val="008B5D77"/>
    <w:rsid w:val="008C15B7"/>
    <w:rsid w:val="008C1D5E"/>
    <w:rsid w:val="008F5042"/>
    <w:rsid w:val="008F66E9"/>
    <w:rsid w:val="009000A3"/>
    <w:rsid w:val="00920451"/>
    <w:rsid w:val="00923818"/>
    <w:rsid w:val="00956431"/>
    <w:rsid w:val="00967E07"/>
    <w:rsid w:val="0097019E"/>
    <w:rsid w:val="00972608"/>
    <w:rsid w:val="009779C9"/>
    <w:rsid w:val="00980CAE"/>
    <w:rsid w:val="00981AAB"/>
    <w:rsid w:val="00986E20"/>
    <w:rsid w:val="009931D5"/>
    <w:rsid w:val="00995CD3"/>
    <w:rsid w:val="009A4827"/>
    <w:rsid w:val="009A63DA"/>
    <w:rsid w:val="009B514E"/>
    <w:rsid w:val="009D004F"/>
    <w:rsid w:val="009D1A46"/>
    <w:rsid w:val="009F2E7A"/>
    <w:rsid w:val="009F337A"/>
    <w:rsid w:val="009F39AE"/>
    <w:rsid w:val="009F4561"/>
    <w:rsid w:val="009F6613"/>
    <w:rsid w:val="00A2007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B11B9F"/>
    <w:rsid w:val="00B2120F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564B"/>
    <w:rsid w:val="00B763B2"/>
    <w:rsid w:val="00B80D6A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62E8"/>
    <w:rsid w:val="00C06229"/>
    <w:rsid w:val="00C12973"/>
    <w:rsid w:val="00C12CED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10F0C"/>
    <w:rsid w:val="00D12B44"/>
    <w:rsid w:val="00D1706A"/>
    <w:rsid w:val="00D22499"/>
    <w:rsid w:val="00D25054"/>
    <w:rsid w:val="00D2553B"/>
    <w:rsid w:val="00D31666"/>
    <w:rsid w:val="00D62843"/>
    <w:rsid w:val="00D7138B"/>
    <w:rsid w:val="00D77AD5"/>
    <w:rsid w:val="00D871C7"/>
    <w:rsid w:val="00DA5EF3"/>
    <w:rsid w:val="00DA6BD8"/>
    <w:rsid w:val="00DB052D"/>
    <w:rsid w:val="00DB49E4"/>
    <w:rsid w:val="00DB61E7"/>
    <w:rsid w:val="00DC0329"/>
    <w:rsid w:val="00DC2FD2"/>
    <w:rsid w:val="00DE4F94"/>
    <w:rsid w:val="00DF1863"/>
    <w:rsid w:val="00DF2243"/>
    <w:rsid w:val="00DF3CE7"/>
    <w:rsid w:val="00DF4FE6"/>
    <w:rsid w:val="00E057D8"/>
    <w:rsid w:val="00E13802"/>
    <w:rsid w:val="00E30001"/>
    <w:rsid w:val="00E409AB"/>
    <w:rsid w:val="00E43D22"/>
    <w:rsid w:val="00E46622"/>
    <w:rsid w:val="00E46B6B"/>
    <w:rsid w:val="00E50BA6"/>
    <w:rsid w:val="00E57688"/>
    <w:rsid w:val="00E65C06"/>
    <w:rsid w:val="00E83264"/>
    <w:rsid w:val="00E85230"/>
    <w:rsid w:val="00E87194"/>
    <w:rsid w:val="00EA385B"/>
    <w:rsid w:val="00EA3E5C"/>
    <w:rsid w:val="00EA6533"/>
    <w:rsid w:val="00EC12CE"/>
    <w:rsid w:val="00EC52AE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4089"/>
    <w:rsid w:val="00FB442C"/>
    <w:rsid w:val="00FB4C88"/>
    <w:rsid w:val="00FC26CF"/>
    <w:rsid w:val="00FE0073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6A5A14E1279F12C78A699D558CA984CD2C2926BF7B8E1640CC0E804DAA36799F294BE5F9F42ED2006113451V4C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DC1D-5F13-4DC6-B0D9-AD484D50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2022-12-20T04:56:00Z</cp:lastPrinted>
  <dcterms:created xsi:type="dcterms:W3CDTF">2021-10-18T05:41:00Z</dcterms:created>
  <dcterms:modified xsi:type="dcterms:W3CDTF">2022-12-20T04:56:00Z</dcterms:modified>
</cp:coreProperties>
</file>