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330755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15 февраля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A96019"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330755">
        <w:rPr>
          <w:rFonts w:ascii="Times New Roman" w:hAnsi="Times New Roman" w:cs="Times New Roman"/>
          <w:sz w:val="28"/>
          <w:szCs w:val="28"/>
        </w:rPr>
        <w:t>Об утверждении Документа планирования регулярных перевозок по</w:t>
      </w:r>
      <w:proofErr w:type="gramEnd"/>
      <w:r w:rsidR="00330755">
        <w:rPr>
          <w:rFonts w:ascii="Times New Roman" w:hAnsi="Times New Roman" w:cs="Times New Roman"/>
          <w:sz w:val="28"/>
          <w:szCs w:val="28"/>
        </w:rPr>
        <w:t xml:space="preserve"> муниципальным маршрутам Юсьвинского муниципального округа Пермского края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E04E7B">
        <w:rPr>
          <w:rFonts w:ascii="Times New Roman" w:hAnsi="Times New Roman" w:cs="Times New Roman"/>
          <w:sz w:val="28"/>
          <w:szCs w:val="28"/>
        </w:rPr>
        <w:t>отделом территориального развития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04E7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EB5B31">
              <w:rPr>
                <w:b/>
              </w:rPr>
              <w:t>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04E7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EB5B31">
              <w:rPr>
                <w:b/>
              </w:rPr>
              <w:t>.01.2024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04E7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01.02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04E7B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09.02</w:t>
            </w:r>
            <w:r w:rsidR="00EB5B31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E04E7B" w:rsidRPr="00E04E7B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https://www.admuswa.ru/city/ekonomika/otsenka-reguliruyushchego-vozdeystviya/otsenka-reguliruyushchego-vozdeystviya-proektov-pravovykh-aktov.php?ELEMENT_ID=21896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E04E7B" w:rsidRPr="00AF69CE" w:rsidRDefault="00E04E7B" w:rsidP="00E04E7B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>-   предлагаемый проект акта утверждает Документ планирования регулярных перевозок по муниципальным маршрутам Юсьвинского муниципального округа Пермского края, включая:</w:t>
      </w:r>
    </w:p>
    <w:p w:rsidR="00E04E7B" w:rsidRPr="00AF69CE" w:rsidRDefault="00E04E7B" w:rsidP="00E04E7B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>- виды регулярных перевозок по муниципальным маршрутам;</w:t>
      </w:r>
    </w:p>
    <w:p w:rsidR="00E04E7B" w:rsidRPr="00AF69CE" w:rsidRDefault="00E04E7B" w:rsidP="00E04E7B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>- план изменения муниципальных маршрутов регулярных перевозок;</w:t>
      </w:r>
    </w:p>
    <w:p w:rsidR="00E04E7B" w:rsidRPr="00AF69CE" w:rsidRDefault="00E04E7B" w:rsidP="00E04E7B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>- 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 регулярных перевозок;</w:t>
      </w:r>
    </w:p>
    <w:p w:rsidR="00E04E7B" w:rsidRPr="00AF69CE" w:rsidRDefault="00E04E7B" w:rsidP="00E04E7B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>- п</w:t>
      </w:r>
      <w:r w:rsidRPr="00AF69CE">
        <w:rPr>
          <w:sz w:val="28"/>
          <w:szCs w:val="28"/>
        </w:rPr>
        <w:t>лан проведения иных мероприятий, направленных на обеспечение транспортного обслуживания населения Юсьвинского муниципального округа Пермского края.</w:t>
      </w:r>
    </w:p>
    <w:p w:rsidR="00E04E7B" w:rsidRPr="00AF69CE" w:rsidRDefault="00E04E7B" w:rsidP="00E04E7B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 xml:space="preserve">        В соответствии с данным правовым актом признается утратившим силу постановление администрации Юсьвинского муниципального округа Пермского края от 05.02.2021 № 54 «Об утверждении Документа планирования регулярных перевозок по муниципальным маршрутам </w:t>
      </w:r>
      <w:r w:rsidR="00AF69CE" w:rsidRPr="00AF69CE">
        <w:rPr>
          <w:sz w:val="28"/>
          <w:szCs w:val="28"/>
        </w:rPr>
        <w:t>Юсьвинского муниципального округа Пермского края на 2021-2023 гг.».</w:t>
      </w:r>
    </w:p>
    <w:p w:rsidR="00647867" w:rsidRPr="00CA3DC8" w:rsidRDefault="00647867" w:rsidP="00E04E7B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</w:t>
      </w:r>
      <w:r w:rsidR="00AF69CE">
        <w:rPr>
          <w:sz w:val="28"/>
          <w:szCs w:val="28"/>
        </w:rPr>
        <w:t xml:space="preserve">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</w:t>
      </w:r>
      <w:bookmarkStart w:id="0" w:name="_GoBack"/>
      <w:bookmarkEnd w:id="0"/>
      <w:r w:rsidRPr="00647867">
        <w:rPr>
          <w:sz w:val="28"/>
          <w:szCs w:val="28"/>
        </w:rPr>
        <w:t xml:space="preserve">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</w:t>
      </w:r>
      <w:r w:rsidR="00AF69CE">
        <w:t xml:space="preserve"> </w:t>
      </w:r>
      <w:r w:rsidRPr="009147AC">
        <w:t>78</w:t>
      </w:r>
      <w:r w:rsidR="00AF69CE">
        <w:t xml:space="preserve"> </w:t>
      </w:r>
      <w:r w:rsidRPr="009147AC">
        <w:t>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01" w:rsidRDefault="00F56501" w:rsidP="00717074">
      <w:r>
        <w:separator/>
      </w:r>
    </w:p>
  </w:endnote>
  <w:endnote w:type="continuationSeparator" w:id="0">
    <w:p w:rsidR="00F56501" w:rsidRDefault="00F56501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01" w:rsidRDefault="00F56501" w:rsidP="00717074">
      <w:r>
        <w:separator/>
      </w:r>
    </w:p>
  </w:footnote>
  <w:footnote w:type="continuationSeparator" w:id="0">
    <w:p w:rsidR="00F56501" w:rsidRDefault="00F56501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0755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47D51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0F37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9CE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4E7B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501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63</cp:revision>
  <cp:lastPrinted>2024-02-15T04:39:00Z</cp:lastPrinted>
  <dcterms:created xsi:type="dcterms:W3CDTF">2016-02-11T04:26:00Z</dcterms:created>
  <dcterms:modified xsi:type="dcterms:W3CDTF">2024-02-15T04:41:00Z</dcterms:modified>
</cp:coreProperties>
</file>