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4B" w:rsidRDefault="00E3664B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tbl>
      <w:tblPr>
        <w:tblW w:w="1004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"/>
        <w:gridCol w:w="4162"/>
        <w:gridCol w:w="1871"/>
        <w:gridCol w:w="3884"/>
      </w:tblGrid>
      <w:tr w:rsidR="00E3664B">
        <w:tc>
          <w:tcPr>
            <w:tcW w:w="10047" w:type="dxa"/>
            <w:gridSpan w:val="4"/>
            <w:shd w:val="clear" w:color="auto" w:fill="auto"/>
          </w:tcPr>
          <w:p w:rsidR="00E3664B" w:rsidRDefault="00A7332E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3664B" w:rsidRDefault="00A7332E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 жителей пос. Майкор</w:t>
            </w:r>
          </w:p>
          <w:p w:rsidR="00E3664B" w:rsidRDefault="00A7332E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  <w:p w:rsidR="00E3664B" w:rsidRDefault="00E3664B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4B">
        <w:tc>
          <w:tcPr>
            <w:tcW w:w="62" w:type="dxa"/>
            <w:shd w:val="clear" w:color="auto" w:fill="auto"/>
          </w:tcPr>
          <w:p w:rsidR="00E3664B" w:rsidRDefault="00E3664B"/>
        </w:tc>
        <w:tc>
          <w:tcPr>
            <w:tcW w:w="9985" w:type="dxa"/>
            <w:gridSpan w:val="3"/>
            <w:shd w:val="clear" w:color="auto" w:fill="auto"/>
          </w:tcPr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24 августа 2024 г., 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 18-00 час. 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окончания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18-45 час.</w:t>
            </w:r>
          </w:p>
          <w:p w:rsidR="00E3664B" w:rsidRDefault="00A7332E">
            <w:pPr>
              <w:pStyle w:val="ConsPlusNormal0"/>
              <w:spacing w:line="360" w:lineRule="auto"/>
              <w:ind w:right="34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пос. Майкор, Юсьвинский район, Пермский край,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д.8  МБУК «Культурно-досуговый центр» 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человек.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регистрации участников собрания прилагаются.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Приглашенные: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Ляшкова Нина Николаевна,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территориями администрации Юсьвинского муниципального округа Пермского края.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Корякина Ольга Николаевна,  главный специалист отдела по работе с территориями администрации Юсьвинского муниципального округа Пермского края.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собрания: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Избрание председателя и секретаря собрания.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Представление инициативного проекта «Добрая память» благоустройство территории кладбища  в пос. Майкор.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Выбор инициативной группы, назначение ответственных лиц за сбор денежных средств.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Обсуждение проекта участниками собрания.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Голосование участников собрания за поддержку проекта.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3664B" w:rsidRDefault="00E3664B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По первому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Кожевникову Екатерину Викторовну, которая открыла собрание. Для начала собрания необходимо выбрать председателя и секретаря собрания. На собрании все решения принимаются открытым голосованием.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предложила избрать: 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председателем собрания Кожевникову Екатерину Викторовну, секретарем собрания Сторожеву Евгению Егоровну.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"За" - 41;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0; 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"Воздержались" 0.</w:t>
            </w:r>
          </w:p>
        </w:tc>
      </w:tr>
      <w:tr w:rsidR="00E3664B">
        <w:tc>
          <w:tcPr>
            <w:tcW w:w="10047" w:type="dxa"/>
            <w:gridSpan w:val="4"/>
            <w:shd w:val="clear" w:color="auto" w:fill="auto"/>
          </w:tcPr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Избрать председателем собрания Кожевникову Екатерину Викторовну, секретарем собрания Сторожеву Евгению Егоровну. </w:t>
            </w:r>
          </w:p>
          <w:p w:rsidR="00E3664B" w:rsidRDefault="00E3664B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По второму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Кожевникову Екатерину Викторовну председателя собрания.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нашего собрания принимают участие 41 человек,  (зарегистрировано 41 чел.)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 обсуждение проекта.</w:t>
            </w:r>
          </w:p>
          <w:tbl>
            <w:tblPr>
              <w:tblStyle w:val="aff3"/>
              <w:tblW w:w="9350" w:type="dxa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2972"/>
              <w:gridCol w:w="5386"/>
            </w:tblGrid>
            <w:tr w:rsidR="00E3664B">
              <w:trPr>
                <w:trHeight w:val="283"/>
              </w:trPr>
              <w:tc>
                <w:tcPr>
                  <w:tcW w:w="99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характеристика проекта  инициативного бюджетирования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сведения о проекте</w:t>
                  </w:r>
                </w:p>
              </w:tc>
            </w:tr>
            <w:tr w:rsidR="00E3664B">
              <w:trPr>
                <w:trHeight w:val="283"/>
              </w:trPr>
              <w:tc>
                <w:tcPr>
                  <w:tcW w:w="99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</w:tr>
            <w:tr w:rsidR="00E3664B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проекта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Проект, который  сегодня  будем обсуждать, называется «Добрая память» благоустройство территории кладбища  в пос. Майкор  </w:t>
                  </w:r>
                </w:p>
              </w:tc>
            </w:tr>
            <w:tr w:rsidR="00E3664B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реализации проекта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 будет реализовываться в Пермском крае, Юсьвинского района в пос. Майкор                                   по ул. Свободы</w:t>
                  </w:r>
                </w:p>
              </w:tc>
            </w:tr>
            <w:tr w:rsidR="00E3664B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проекта (описание проблемы и обоснование ее актуальности)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Проблема: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остояние благоустройства кладбища не отвечает санитарным и эстетическим нормам.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Цель проекта: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 территории кладбища в пос. Майкор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Испокон веков кладбища имели священный статус у человека.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прежде всего место памяти, куда люди  приходят, чтобы помолиться о своих усопших родственниках. Поэтому кладбище берегут и заботятся об его сохранности. Именно  живущие  сегодня люди несут большую ответственность за состояние кладбища. Как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выглядит на сегодняшний  день наше кладбище вы многие знаете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3664B" w:rsidRDefault="00A7332E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Состояние благоустройства территории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кладбища в пос. Майкор не отвечает санитарным                             и эстетическим нормам. </w:t>
                  </w:r>
                </w:p>
                <w:p w:rsidR="00E3664B" w:rsidRDefault="00A7332E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_DdeLink__869_390730043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Ограждения устарели, деревянные столбы сгнили  и наклонились, часть упала, прясла провалились. У центрального входа на кладбище нет никакого вида, ворота провисли, деревянные конструкции сгнили.</w:t>
                  </w:r>
                </w:p>
                <w:p w:rsidR="00E3664B" w:rsidRDefault="00A7332E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Кладбище имеет большую протяженность, поэтому до отдаленных мест захоронений посетителям приходится ходить по дороге, которая не пригодна для продвижения пешеходов.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Также большую проблему создают  много высоких, аварийных деревьев (сухостойные, гнилые) которые падают на могилы при сильных порывах ветра, поросль и мелколесье мешают проходить к местам захоронений.</w:t>
                  </w:r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Ежегодно в дни поминовения кладбище посещают более 2000 человек. 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В пос. Майкор на 1 января 2024 года проживает 2161 человек из них — 85% населения  пользуются данным объектом. </w:t>
                  </w:r>
                </w:p>
                <w:p w:rsidR="00E3664B" w:rsidRDefault="00E3664B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E3664B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Виды работ для реализации проекта 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нашего Проекта предусмотрены следующие виды работ:</w:t>
                  </w:r>
                </w:p>
                <w:p w:rsidR="00E3664B" w:rsidRDefault="00A7332E">
                  <w:pPr>
                    <w:spacing w:after="0" w:line="360" w:lineRule="auto"/>
                    <w:rPr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I.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Устройство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металлического ограждения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вокруг кладбища (700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п.м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.)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воротами и калиткой.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Установка металлических столбов высотой до 4 метров, с погружением в бетонное основание. 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 Устройство ворот распашных с установкой столбов металлических.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Устройство калиток 3 шт.: без установки столбов при металлических оградах и оградах 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панелей.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="009028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рунтовка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металлических поверхностей за один раз: грунтовкой ГФ-021. Окраска металлических огрунтова</w:t>
                  </w:r>
                  <w:r w:rsidR="009028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поверхностей эмалью  ПФ- 115.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Перевозка грузов 1 класса автомобилями бортовыми грузоподъемностью до 15 т. на расстояние до 30 км. Перевозка грузов 1 класса автомобилями бортовыми грузоподъемностью до 15 т. на расстояние до 80 км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еталлоконструкции).</w:t>
                  </w:r>
                </w:p>
                <w:p w:rsidR="00E3664B" w:rsidRDefault="00A7332E">
                  <w:pPr>
                    <w:spacing w:after="0" w:line="360" w:lineRule="auto"/>
                    <w:rPr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II. Восстановление земляного полотна (заезд                      на кладбище 250 м.)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Исправление профиля оснований гравийных с добавлением нового материала (природной песчано-гравийной смеси).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Перевозка грузов 1 класса автомобилями самосвалами грузоподъемностью 10 т. работающих не карьера на расстоянии до 30 км.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III. Уборка гнилых  сухостойных деревьев (50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шт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Валка деревьев мягких пород с корня, диаметр стволов более 32 см.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Расчистка площадей от кустарника                         и мелколесья вручную при средней  поросли                  (300 кв. м.).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Погрузка при автомобильных перевозках прочих материалов, деталей (с использованием  погрузчика).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Погрузка при автомобильных перевозках мусора строительного с погрузкой вручную.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Перевозка грузов 1 класса автомобилями-самосвалами грузоподъемностью 10 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работающих вне карьера на расстоянии до 80 км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усор, отходы).</w:t>
                  </w:r>
                </w:p>
                <w:p w:rsidR="00E3664B" w:rsidRDefault="00A7332E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рамках проекта предусмотрена волонтерская помощь (будут проведены осенние и весенние субботники по очистке от мусора и поросли территории кладбища).</w:t>
                  </w:r>
                </w:p>
              </w:tc>
            </w:tr>
            <w:tr w:rsidR="00E3664B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Финансирование проекта: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78" w:type="dxa"/>
                  </w:tcMar>
                </w:tcPr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Стоимость проекта «Добрая память» благоустройство территории кладбища в пос. Майкор составляет - 2 529 890 рублей из них: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 средства бюджета Пермского края                 (не более 90% от стоимости Проекта)                                   - 2 276 901 рублей;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средства местного бюджета (не менее 10% от стоимости Проекта) - 252 989 рублей из них: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2.1. собственные средства местного бюджета                             (не менее 5% от стоимости Проекта) -126 494,50 рублей; 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 денежные средства граждан - 61 494,50 рублей;</w:t>
                  </w:r>
                </w:p>
                <w:p w:rsidR="00E3664B" w:rsidRDefault="00A7332E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2.3. денежные средства индивидуальных предпринимателей и юридических лиц - 65 000 рублей.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E3664B" w:rsidRDefault="00E3664B">
                  <w:pPr>
                    <w:pStyle w:val="ConsPlusNormal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3664B" w:rsidRDefault="00E3664B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По третьему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Кожевникова Екатерина Викторовна рассказала                                 об инициаторах проекта. Инициаторами  проекта  выступила группа ветеранов                         пос. Майкор. Их идею подхватили единомышленники - это люди разных поколений: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Андреевна, Давыдова Ильгизя Ринатовна, Потапова Маргарита Михайловна, Кожевникова Екатерина Викторовна,  Давыдова Надежда Юрьевна, Килин Сергей Борисович, Артемова Валентина Евгеньевна, Котельников Андрей Сергеевич, Сторожева Евгения Егоровна,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Владимировна. Возглавила группу единомышленников Кожевникова Екатерина Викторовна.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Давыдова Надежда Юрьевна предложила утвердить состав инициативной группы проекта в количестве 10 человек, которая будет помогать готовить и выполнять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всех стадиях</w:t>
            </w:r>
            <w:r w:rsidR="00902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подготовки проекта на конкурс до завершения строительных работ.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За" - 41;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0;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"Воздержались" 0.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Избрать инициативную группу следующим составом: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Ильгизя Ринатовна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Маргарита Михайловна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Екатерина Викторовна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Надежда Юрьевна 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Килин Сергей Борисович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Валентина Евгеньевна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Андрей Сергеевич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Евгения Егоровна</w:t>
            </w:r>
          </w:p>
          <w:p w:rsidR="00E3664B" w:rsidRDefault="00A7332E">
            <w:pPr>
              <w:pStyle w:val="ConsPlusNormal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Владимировна.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Ильгизя Ринатовна предложила назначить ответственных лиц за сбор денежных средств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Артёмову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Валентину Евгеньевну, Потапову Маргариту Михайловну.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За" - 41;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0;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"Воздержались" 0.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Избрать ответственных лиц за сбор денежных средств Артемову Валентину Евгеньевну и Потапову Маргариту Михайловну. Сбор денежных средств необходимо собрать до 01.03.2025 года: в размере 61 494,50 рублей от жителей пос. Майкор,                         в размере 65 000 рублей от индивидуальных предпринимателей. </w:t>
            </w:r>
          </w:p>
          <w:p w:rsidR="00E3664B" w:rsidRDefault="00E3664B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 четвертому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Кожевникову Екатерину Викторовну, которая предложила участникам собрания принять участие в обсуждении проекта, внести свои предложения,</w:t>
            </w:r>
            <w:r w:rsidR="002513DA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и далее проголосовать за поддержку проекта.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собрания задали следующие вопросы: 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1. Будет ли обустроена еще одна ТКО площадка?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2. Будет ли продолжение вашего проекта?</w:t>
            </w:r>
          </w:p>
          <w:p w:rsidR="00E3664B" w:rsidRDefault="00A7332E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3. Какие материалы будут применяться для ограждения кладбища?</w:t>
            </w:r>
          </w:p>
          <w:p w:rsidR="00E3664B" w:rsidRDefault="00A7332E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lastRenderedPageBreak/>
              <w:t>4. Где будет размещаться информация о том, как идет работа по реализации проекта?</w:t>
            </w:r>
          </w:p>
          <w:p w:rsidR="00E3664B" w:rsidRDefault="00A7332E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5. Какая волонтерская работа предусмотрена вашим Проектом?</w:t>
            </w:r>
          </w:p>
          <w:p w:rsidR="00E3664B" w:rsidRDefault="00A7332E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6. Сколько  запланировано калиток в ограждении кладбища?</w:t>
            </w:r>
          </w:p>
          <w:p w:rsidR="00E3664B" w:rsidRDefault="00A7332E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 все поставленные вопросы во время дискуссии</w:t>
            </w:r>
            <w:r w:rsidR="002513DA">
              <w:rPr>
                <w:rFonts w:ascii="Times New Roman" w:hAnsi="Times New Roman" w:cs="Arial"/>
                <w:sz w:val="24"/>
                <w:szCs w:val="24"/>
              </w:rPr>
              <w:t>,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председателем собрания были даны исчерпывающие ответы.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По пятому вопросу слушали</w:t>
            </w:r>
            <w:r w:rsidR="002513DA">
              <w:rPr>
                <w:rFonts w:ascii="Times New Roman" w:hAnsi="Times New Roman" w:cs="Times New Roman"/>
                <w:sz w:val="24"/>
                <w:szCs w:val="24"/>
              </w:rPr>
              <w:t>: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Кожевникова Екатерина Викторовна предложила приступить к голосованию за поддержку проекта.</w:t>
            </w:r>
          </w:p>
          <w:p w:rsidR="00E3664B" w:rsidRDefault="00A7332E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За" - 41;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0; </w:t>
            </w:r>
          </w:p>
          <w:p w:rsidR="00E3664B" w:rsidRDefault="00A7332E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"Воздержались" 0.</w:t>
            </w:r>
          </w:p>
          <w:p w:rsidR="00E3664B" w:rsidRDefault="00A7332E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проект «Добрая память» благоустройство территории кладбища  в пос. Майкор и представить его на конкурсный отбор проектов инициативного бюджетирования Юсьвинского муниципального округа Пермского края. </w:t>
            </w:r>
          </w:p>
          <w:p w:rsidR="00E3664B" w:rsidRDefault="00E3664B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E3664B">
        <w:trPr>
          <w:trHeight w:val="481"/>
        </w:trPr>
        <w:tc>
          <w:tcPr>
            <w:tcW w:w="4246" w:type="dxa"/>
            <w:gridSpan w:val="2"/>
            <w:shd w:val="clear" w:color="auto" w:fill="auto"/>
          </w:tcPr>
          <w:p w:rsidR="00E3664B" w:rsidRDefault="00A733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собрания (конференции)</w:t>
            </w:r>
          </w:p>
        </w:tc>
        <w:tc>
          <w:tcPr>
            <w:tcW w:w="1871" w:type="dxa"/>
            <w:shd w:val="clear" w:color="auto" w:fill="auto"/>
          </w:tcPr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930" w:type="dxa"/>
            <w:shd w:val="clear" w:color="auto" w:fill="auto"/>
          </w:tcPr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/_____________________/</w:t>
            </w:r>
          </w:p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E3664B">
        <w:tc>
          <w:tcPr>
            <w:tcW w:w="4246" w:type="dxa"/>
            <w:gridSpan w:val="2"/>
            <w:shd w:val="clear" w:color="auto" w:fill="auto"/>
          </w:tcPr>
          <w:p w:rsidR="00E3664B" w:rsidRDefault="00A733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собрания (конференции)</w:t>
            </w:r>
          </w:p>
        </w:tc>
        <w:tc>
          <w:tcPr>
            <w:tcW w:w="1871" w:type="dxa"/>
            <w:shd w:val="clear" w:color="auto" w:fill="auto"/>
          </w:tcPr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930" w:type="dxa"/>
            <w:shd w:val="clear" w:color="auto" w:fill="auto"/>
          </w:tcPr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/_____________________/</w:t>
            </w:r>
          </w:p>
          <w:p w:rsidR="00E3664B" w:rsidRDefault="00A7332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E3664B" w:rsidRDefault="00E366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64B" w:rsidRDefault="00E366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64B" w:rsidRDefault="00E3664B">
      <w:pPr>
        <w:spacing w:line="240" w:lineRule="auto"/>
        <w:ind w:right="423"/>
      </w:pPr>
    </w:p>
    <w:sectPr w:rsidR="00E3664B">
      <w:footerReference w:type="default" r:id="rId9"/>
      <w:pgSz w:w="11906" w:h="16838"/>
      <w:pgMar w:top="1134" w:right="991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3A" w:rsidRDefault="007A613A">
      <w:pPr>
        <w:spacing w:after="0" w:line="240" w:lineRule="auto"/>
      </w:pPr>
      <w:r>
        <w:separator/>
      </w:r>
    </w:p>
  </w:endnote>
  <w:endnote w:type="continuationSeparator" w:id="0">
    <w:p w:rsidR="007A613A" w:rsidRDefault="007A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047493"/>
      <w:docPartObj>
        <w:docPartGallery w:val="Page Numbers (Bottom of Page)"/>
        <w:docPartUnique/>
      </w:docPartObj>
    </w:sdtPr>
    <w:sdtEndPr/>
    <w:sdtContent>
      <w:p w:rsidR="00E3664B" w:rsidRDefault="007A613A">
        <w:pPr>
          <w:pStyle w:val="af"/>
          <w:jc w:val="center"/>
        </w:pPr>
      </w:p>
    </w:sdtContent>
  </w:sdt>
  <w:p w:rsidR="00E3664B" w:rsidRDefault="00E3664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3A" w:rsidRDefault="007A613A">
      <w:pPr>
        <w:spacing w:after="0" w:line="240" w:lineRule="auto"/>
      </w:pPr>
      <w:r>
        <w:separator/>
      </w:r>
    </w:p>
  </w:footnote>
  <w:footnote w:type="continuationSeparator" w:id="0">
    <w:p w:rsidR="007A613A" w:rsidRDefault="007A6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75DC6"/>
    <w:multiLevelType w:val="multilevel"/>
    <w:tmpl w:val="98AEB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724F5"/>
    <w:multiLevelType w:val="multilevel"/>
    <w:tmpl w:val="FFE81B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64B"/>
    <w:rsid w:val="002513DA"/>
    <w:rsid w:val="007A4FA5"/>
    <w:rsid w:val="007A613A"/>
    <w:rsid w:val="0090289B"/>
    <w:rsid w:val="00A33218"/>
    <w:rsid w:val="00A7332E"/>
    <w:rsid w:val="00E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C"/>
    <w:pPr>
      <w:suppressAutoHyphens/>
      <w:spacing w:after="200"/>
    </w:pPr>
    <w:rPr>
      <w:rFonts w:ascii="Calibri" w:eastAsiaTheme="minorEastAsia" w:hAnsi="Calibri"/>
      <w:color w:val="00000A"/>
      <w:sz w:val="22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qFormat/>
    <w:rsid w:val="00A1009C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"/>
    <w:qFormat/>
    <w:locked/>
    <w:rsid w:val="0086478F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D86D2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1"/>
    <w:uiPriority w:val="99"/>
    <w:semiHidden/>
    <w:qFormat/>
    <w:rsid w:val="001F3FA5"/>
    <w:rPr>
      <w:rFonts w:eastAsiaTheme="minorEastAsia"/>
      <w:lang w:eastAsia="ru-RU"/>
    </w:rPr>
  </w:style>
  <w:style w:type="character" w:customStyle="1" w:styleId="a6">
    <w:name w:val="Нижний колонтитул Знак"/>
    <w:basedOn w:val="a1"/>
    <w:uiPriority w:val="99"/>
    <w:qFormat/>
    <w:rsid w:val="001F3FA5"/>
    <w:rPr>
      <w:rFonts w:eastAsiaTheme="minorEastAsia"/>
      <w:lang w:eastAsia="ru-RU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712FF1"/>
    <w:pPr>
      <w:widowControl w:val="0"/>
      <w:suppressAutoHyphens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712FF1"/>
    <w:pPr>
      <w:widowControl w:val="0"/>
      <w:suppressAutoHyphens/>
      <w:spacing w:line="240" w:lineRule="auto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712FF1"/>
    <w:pPr>
      <w:widowControl w:val="0"/>
      <w:suppressAutoHyphens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b">
    <w:name w:val="No Spacing"/>
    <w:uiPriority w:val="1"/>
    <w:qFormat/>
    <w:rsid w:val="00A1009C"/>
    <w:pPr>
      <w:suppressAutoHyphens/>
      <w:spacing w:line="240" w:lineRule="auto"/>
    </w:pPr>
    <w:rPr>
      <w:rFonts w:eastAsia="Times New Roman" w:cs="Times New Roman"/>
      <w:color w:val="00000A"/>
      <w:sz w:val="22"/>
    </w:rPr>
  </w:style>
  <w:style w:type="paragraph" w:styleId="ac">
    <w:name w:val="Balloon Text"/>
    <w:basedOn w:val="a"/>
    <w:uiPriority w:val="99"/>
    <w:semiHidden/>
    <w:unhideWhenUsed/>
    <w:qFormat/>
    <w:rsid w:val="00D86D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2E0F"/>
    <w:pPr>
      <w:ind w:left="720"/>
      <w:contextualSpacing/>
    </w:pPr>
  </w:style>
  <w:style w:type="paragraph" w:styleId="ae">
    <w:name w:val="header"/>
    <w:basedOn w:val="a"/>
    <w:uiPriority w:val="99"/>
    <w:semiHidden/>
    <w:unhideWhenUsed/>
    <w:rsid w:val="001F3FA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1F3FA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paragraph" w:customStyle="1" w:styleId="af3">
    <w:name w:val="???????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af4">
    <w:name w:val="?????? ?? ????????"/>
    <w:basedOn w:val="af3"/>
    <w:qFormat/>
  </w:style>
  <w:style w:type="paragraph" w:customStyle="1" w:styleId="af5">
    <w:name w:val="?????? ? ?????"/>
    <w:basedOn w:val="af3"/>
    <w:qFormat/>
  </w:style>
  <w:style w:type="paragraph" w:customStyle="1" w:styleId="af6">
    <w:name w:val="?????? ??? ???????"/>
    <w:basedOn w:val="af3"/>
    <w:qFormat/>
  </w:style>
  <w:style w:type="paragraph" w:customStyle="1" w:styleId="af7">
    <w:name w:val="?????? ??? ??????? ? ?????"/>
    <w:basedOn w:val="af3"/>
    <w:qFormat/>
  </w:style>
  <w:style w:type="paragraph" w:customStyle="1" w:styleId="af8">
    <w:name w:val="?????"/>
    <w:basedOn w:val="af3"/>
    <w:qFormat/>
  </w:style>
  <w:style w:type="paragraph" w:customStyle="1" w:styleId="af9">
    <w:name w:val="???????? ?????"/>
    <w:basedOn w:val="af3"/>
    <w:qFormat/>
  </w:style>
  <w:style w:type="paragraph" w:customStyle="1" w:styleId="afa">
    <w:name w:val="???????????? ?????? ?? ??????"/>
    <w:basedOn w:val="af3"/>
    <w:qFormat/>
  </w:style>
  <w:style w:type="paragraph" w:customStyle="1" w:styleId="afb">
    <w:name w:val="?????? ?????? ? ????????"/>
    <w:basedOn w:val="af3"/>
    <w:qFormat/>
    <w:pPr>
      <w:ind w:firstLine="340"/>
    </w:pPr>
  </w:style>
  <w:style w:type="paragraph" w:customStyle="1" w:styleId="afc">
    <w:name w:val="????????"/>
    <w:basedOn w:val="af3"/>
    <w:qFormat/>
  </w:style>
  <w:style w:type="paragraph" w:customStyle="1" w:styleId="10">
    <w:name w:val="???????? 1"/>
    <w:basedOn w:val="af3"/>
    <w:qFormat/>
    <w:pPr>
      <w:jc w:val="center"/>
    </w:pPr>
  </w:style>
  <w:style w:type="paragraph" w:customStyle="1" w:styleId="20">
    <w:name w:val="???????? 2"/>
    <w:basedOn w:val="af3"/>
    <w:qFormat/>
    <w:pPr>
      <w:spacing w:before="57" w:after="57"/>
      <w:ind w:right="113"/>
      <w:jc w:val="center"/>
    </w:pPr>
  </w:style>
  <w:style w:type="paragraph" w:customStyle="1" w:styleId="afd">
    <w:name w:val="?????????"/>
    <w:basedOn w:val="af3"/>
    <w:qFormat/>
    <w:pPr>
      <w:spacing w:before="238" w:after="119"/>
    </w:pPr>
  </w:style>
  <w:style w:type="paragraph" w:customStyle="1" w:styleId="11">
    <w:name w:val="????????? 1"/>
    <w:basedOn w:val="af3"/>
    <w:qFormat/>
    <w:pPr>
      <w:spacing w:before="238" w:after="119"/>
    </w:pPr>
  </w:style>
  <w:style w:type="paragraph" w:customStyle="1" w:styleId="21">
    <w:name w:val="????????? 2"/>
    <w:basedOn w:val="af3"/>
    <w:qFormat/>
    <w:pPr>
      <w:spacing w:before="238" w:after="119"/>
    </w:pPr>
  </w:style>
  <w:style w:type="paragraph" w:customStyle="1" w:styleId="afe">
    <w:name w:val="????????? ?????"/>
    <w:basedOn w:val="af3"/>
    <w:qFormat/>
  </w:style>
  <w:style w:type="paragraph" w:customStyle="1" w:styleId="TitleContentLTGliederung1">
    <w:name w:val="Title;Content~LT~Gliederung 1"/>
    <w:qFormat/>
    <w:pPr>
      <w:suppressAutoHyphens/>
      <w:spacing w:before="283"/>
    </w:pPr>
    <w:rPr>
      <w:rFonts w:ascii="Mangal" w:eastAsia="Tahoma" w:hAnsi="Mangal" w:cs="Liberation Sans"/>
      <w:color w:val="000000"/>
      <w:sz w:val="63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TitleContentLTHintergrund">
    <w:name w:val="Title;Content~LT~Hintergrund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">
    <w:name w:val="default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">
    <w:name w:val="????????????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aff0">
    <w:name w:val="??????? ????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1">
    <w:name w:val="???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2">
    <w:name w:val="??????????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30">
    <w:name w:val="????????? 3"/>
    <w:basedOn w:val="21"/>
    <w:qFormat/>
    <w:pPr>
      <w:spacing w:before="170" w:after="0"/>
    </w:pPr>
    <w:rPr>
      <w:sz w:val="48"/>
    </w:rPr>
  </w:style>
  <w:style w:type="paragraph" w:customStyle="1" w:styleId="4">
    <w:name w:val="????????? 4"/>
    <w:basedOn w:val="30"/>
    <w:qFormat/>
    <w:pPr>
      <w:spacing w:before="113"/>
    </w:pPr>
    <w:rPr>
      <w:sz w:val="40"/>
    </w:rPr>
  </w:style>
  <w:style w:type="paragraph" w:customStyle="1" w:styleId="5">
    <w:name w:val="????????? 5"/>
    <w:basedOn w:val="4"/>
    <w:qFormat/>
    <w:pPr>
      <w:spacing w:before="57"/>
    </w:pPr>
  </w:style>
  <w:style w:type="paragraph" w:customStyle="1" w:styleId="6">
    <w:name w:val="????????? 6"/>
    <w:basedOn w:val="5"/>
    <w:qFormat/>
  </w:style>
  <w:style w:type="paragraph" w:customStyle="1" w:styleId="7">
    <w:name w:val="????????? 7"/>
    <w:basedOn w:val="6"/>
    <w:qFormat/>
  </w:style>
  <w:style w:type="paragraph" w:customStyle="1" w:styleId="8">
    <w:name w:val="????????? 8"/>
    <w:basedOn w:val="7"/>
    <w:qFormat/>
  </w:style>
  <w:style w:type="paragraph" w:customStyle="1" w:styleId="9">
    <w:name w:val="????????? 9"/>
    <w:basedOn w:val="8"/>
    <w:qFormat/>
  </w:style>
  <w:style w:type="paragraph" w:customStyle="1" w:styleId="BlankSlideLTGliederung1">
    <w:name w:val="Blank Slide~LT~Gliederung 1"/>
    <w:qFormat/>
    <w:pPr>
      <w:suppressAutoHyphens/>
      <w:spacing w:before="283"/>
    </w:pPr>
    <w:rPr>
      <w:rFonts w:ascii="Mangal" w:eastAsia="Tahoma" w:hAnsi="Mangal" w:cs="Liberation Sans"/>
      <w:color w:val="000000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BlankSlideLTHintergrund">
    <w:name w:val="Blank Slide~LT~Hintergrund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">
    <w:name w:val="???????~LT~Gliederung 1"/>
    <w:qFormat/>
    <w:pPr>
      <w:suppressAutoHyphens/>
      <w:spacing w:before="283"/>
    </w:pPr>
    <w:rPr>
      <w:rFonts w:ascii="Mangal" w:eastAsia="Tahoma" w:hAnsi="Mangal" w:cs="Liberation Sans"/>
      <w:color w:val="000000"/>
      <w:sz w:val="63"/>
      <w:szCs w:val="24"/>
    </w:rPr>
  </w:style>
  <w:style w:type="paragraph" w:customStyle="1" w:styleId="LTGliederung2">
    <w:name w:val="???????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???????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???????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???????~LT~Gliederung 5"/>
    <w:basedOn w:val="LTGliederung4"/>
    <w:qFormat/>
    <w:pPr>
      <w:spacing w:before="57"/>
    </w:pPr>
  </w:style>
  <w:style w:type="paragraph" w:customStyle="1" w:styleId="LTGliederung6">
    <w:name w:val="???????~LT~Gliederung 6"/>
    <w:basedOn w:val="LTGliederung5"/>
    <w:qFormat/>
  </w:style>
  <w:style w:type="paragraph" w:customStyle="1" w:styleId="LTGliederung7">
    <w:name w:val="???????~LT~Gliederung 7"/>
    <w:basedOn w:val="LTGliederung6"/>
    <w:qFormat/>
  </w:style>
  <w:style w:type="paragraph" w:customStyle="1" w:styleId="LTGliederung8">
    <w:name w:val="???????~LT~Gliederung 8"/>
    <w:basedOn w:val="LTGliederung7"/>
    <w:qFormat/>
  </w:style>
  <w:style w:type="paragraph" w:customStyle="1" w:styleId="LTGliederung9">
    <w:name w:val="???????~LT~Gliederung 9"/>
    <w:basedOn w:val="LTGliederung8"/>
    <w:qFormat/>
  </w:style>
  <w:style w:type="paragraph" w:customStyle="1" w:styleId="LTTitel">
    <w:name w:val="???????~LT~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88"/>
      <w:szCs w:val="24"/>
    </w:rPr>
  </w:style>
  <w:style w:type="paragraph" w:customStyle="1" w:styleId="LTUntertitel">
    <w:name w:val="???????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???????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???????~LT~Hintergrundobjekte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???????~LT~Hintergrund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table" w:styleId="aff3">
    <w:name w:val="Table Grid"/>
    <w:basedOn w:val="a2"/>
    <w:uiPriority w:val="59"/>
    <w:rsid w:val="00C936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82C9-655F-479B-A995-6B89CA42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135</cp:revision>
  <cp:lastPrinted>2024-08-28T01:32:00Z</cp:lastPrinted>
  <dcterms:created xsi:type="dcterms:W3CDTF">2021-09-29T05:29:00Z</dcterms:created>
  <dcterms:modified xsi:type="dcterms:W3CDTF">2024-08-28T05:55:00Z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