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B05D3C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18 июля</w:t>
      </w:r>
      <w:r w:rsidR="00354F62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DA48DD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 xml:space="preserve">О </w:t>
      </w:r>
      <w:r w:rsidR="00A64170">
        <w:rPr>
          <w:rFonts w:ascii="Times New Roman" w:hAnsi="Times New Roman" w:cs="Times New Roman"/>
          <w:sz w:val="28"/>
          <w:szCs w:val="28"/>
        </w:rPr>
        <w:t>введении временного ограничения движения транспортных средств</w:t>
      </w:r>
      <w:proofErr w:type="gramEnd"/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</w:t>
      </w:r>
      <w:r w:rsidR="00A64170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717074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717074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717074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>Разработчиком проведены публичные обсуждения уведомления о подготовке проекта акта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64170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31.05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64170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B05D3C">
              <w:rPr>
                <w:b/>
              </w:rPr>
              <w:t>.06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64170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4C0421">
              <w:rPr>
                <w:b/>
              </w:rPr>
              <w:t>.06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A1844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14.06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AA1844" w:rsidRPr="00AA1844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https://www.admuswa.ru/city/ekonomika/otsenka-reguliruyushchego-vozdeystviya/otsenka-reguliruyushchego-vozdeystviya-proektov-pravovykh-aktov.php?ELEMENT_ID=19719</w:t>
      </w:r>
      <w:r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CA49F2" w:rsidP="00717074">
      <w:pPr>
        <w:spacing w:before="360"/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По результатам проведенных публичных консультаций по проекту акта</w:t>
      </w:r>
      <w:r w:rsidR="005164B8">
        <w:rPr>
          <w:sz w:val="28"/>
          <w:szCs w:val="28"/>
        </w:rPr>
        <w:t xml:space="preserve"> 08.06.2023 г. поступило от прокуратуры Юсьвинского района заключение № 2-24-2023/310-23-20570044.</w:t>
      </w:r>
    </w:p>
    <w:p w:rsidR="004D787C" w:rsidRDefault="00717074" w:rsidP="004D787C">
      <w:pPr>
        <w:spacing w:before="360"/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Pr="00CA3DC8">
        <w:rPr>
          <w:sz w:val="28"/>
          <w:szCs w:val="28"/>
        </w:rPr>
        <w:t xml:space="preserve"> </w:t>
      </w:r>
      <w:r w:rsidRPr="00CA3DC8">
        <w:rPr>
          <w:sz w:val="28"/>
          <w:szCs w:val="28"/>
        </w:rPr>
        <w:lastRenderedPageBreak/>
        <w:t xml:space="preserve">Юсьвинского муниципального </w:t>
      </w:r>
      <w:r w:rsidR="00DA48DD">
        <w:rPr>
          <w:sz w:val="28"/>
          <w:szCs w:val="28"/>
        </w:rPr>
        <w:t>округа</w:t>
      </w:r>
      <w:r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="005164B8">
        <w:rPr>
          <w:sz w:val="28"/>
          <w:szCs w:val="28"/>
        </w:rPr>
        <w:t xml:space="preserve">учесть заключение прокуратуры Юсьвинского района и </w:t>
      </w:r>
      <w:r w:rsidR="005164B8" w:rsidRPr="005164B8">
        <w:rPr>
          <w:sz w:val="28"/>
          <w:szCs w:val="28"/>
        </w:rPr>
        <w:t>доработать проект акта, после чего повторно направить проект акта в комитет экономического развития администрации Юсьвинского муниципального округа Пермского края для подготовки заключения.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 w:rsidR="00A6511B"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 w:rsidR="00626C9A">
        <w:rPr>
          <w:sz w:val="28"/>
          <w:szCs w:val="28"/>
        </w:rPr>
        <w:t>Н.Г.Никулин</w:t>
      </w: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5164B8" w:rsidRDefault="005164B8" w:rsidP="009147AC">
      <w:pPr>
        <w:tabs>
          <w:tab w:val="right" w:pos="9923"/>
        </w:tabs>
        <w:ind w:left="0" w:firstLine="0"/>
      </w:pPr>
    </w:p>
    <w:p w:rsidR="005164B8" w:rsidRDefault="005164B8" w:rsidP="009147AC">
      <w:pPr>
        <w:tabs>
          <w:tab w:val="right" w:pos="9923"/>
        </w:tabs>
        <w:ind w:left="0" w:firstLine="0"/>
      </w:pPr>
    </w:p>
    <w:p w:rsidR="005164B8" w:rsidRDefault="005164B8" w:rsidP="009147AC">
      <w:pPr>
        <w:tabs>
          <w:tab w:val="right" w:pos="9923"/>
        </w:tabs>
        <w:ind w:left="0" w:firstLine="0"/>
      </w:pPr>
    </w:p>
    <w:p w:rsidR="005164B8" w:rsidRDefault="005164B8" w:rsidP="009147AC">
      <w:pPr>
        <w:tabs>
          <w:tab w:val="right" w:pos="9923"/>
        </w:tabs>
        <w:ind w:left="0" w:firstLine="0"/>
      </w:pPr>
    </w:p>
    <w:p w:rsidR="005164B8" w:rsidRDefault="005164B8" w:rsidP="009147AC">
      <w:pPr>
        <w:tabs>
          <w:tab w:val="right" w:pos="9923"/>
        </w:tabs>
        <w:ind w:left="0" w:firstLine="0"/>
      </w:pPr>
    </w:p>
    <w:p w:rsidR="005164B8" w:rsidRDefault="005164B8" w:rsidP="009147AC">
      <w:pPr>
        <w:tabs>
          <w:tab w:val="right" w:pos="9923"/>
        </w:tabs>
        <w:ind w:left="0" w:firstLine="0"/>
      </w:pPr>
    </w:p>
    <w:p w:rsidR="005164B8" w:rsidRDefault="005164B8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A0" w:rsidRDefault="00425DA0" w:rsidP="00717074">
      <w:r>
        <w:separator/>
      </w:r>
    </w:p>
  </w:endnote>
  <w:endnote w:type="continuationSeparator" w:id="1">
    <w:p w:rsidR="00425DA0" w:rsidRDefault="00425DA0" w:rsidP="0071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A0" w:rsidRDefault="00425DA0" w:rsidP="00717074">
      <w:r>
        <w:separator/>
      </w:r>
    </w:p>
  </w:footnote>
  <w:footnote w:type="continuationSeparator" w:id="1">
    <w:p w:rsidR="00425DA0" w:rsidRDefault="00425DA0" w:rsidP="00717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53FB8"/>
    <w:rsid w:val="00354F62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5DA0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164B8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62725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4FBC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64170"/>
    <w:rsid w:val="00A6511B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1844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446A4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Григорий</cp:lastModifiedBy>
  <cp:revision>58</cp:revision>
  <cp:lastPrinted>2023-07-18T10:10:00Z</cp:lastPrinted>
  <dcterms:created xsi:type="dcterms:W3CDTF">2016-02-11T04:26:00Z</dcterms:created>
  <dcterms:modified xsi:type="dcterms:W3CDTF">2023-07-19T09:50:00Z</dcterms:modified>
</cp:coreProperties>
</file>